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财务人员保密协议</w:t>
      </w:r>
    </w:p>
    <w:p>
      <w:pPr>
        <w:jc w:val="center"/>
        <w:rPr>
          <w:rFonts w:hint="eastAsia" w:ascii="宋体" w:hAnsi="宋体" w:eastAsia="宋体" w:cs="宋体"/>
          <w:b/>
          <w:bCs/>
          <w:sz w:val="36"/>
          <w:szCs w:val="36"/>
        </w:rPr>
      </w:pPr>
    </w:p>
    <w:p>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甲方（聘用单位）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eastAsia="zh-CN"/>
        </w:rPr>
        <w:t>法定代表人：</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统一社会信用代码：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p>
    <w:p>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lang w:val="en-US" w:eastAsia="zh-CN"/>
        </w:rPr>
      </w:pPr>
    </w:p>
    <w:p>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乙方（受聘方）：</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紧急联系人：</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联系</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pPr>
        <w:ind w:firstLine="0" w:firstLineChars="0"/>
        <w:rPr>
          <w:rFonts w:hint="eastAsia" w:ascii="宋体" w:hAnsi="宋体" w:eastAsia="宋体" w:cs="宋体"/>
          <w:sz w:val="24"/>
          <w:szCs w:val="24"/>
          <w:u w:val="single"/>
        </w:rPr>
      </w:pPr>
    </w:p>
    <w:p>
      <w:pPr>
        <w:ind w:firstLine="0" w:firstLineChars="0"/>
        <w:rPr>
          <w:rFonts w:hint="eastAsia" w:ascii="宋体" w:hAnsi="宋体" w:eastAsia="宋体" w:cs="宋体"/>
          <w:sz w:val="24"/>
          <w:szCs w:val="24"/>
          <w:u w:val="single"/>
          <w:lang w:val="en-US" w:eastAsia="zh-CN"/>
        </w:rPr>
      </w:pPr>
    </w:p>
    <w:p>
      <w:pPr>
        <w:widowControl/>
        <w:spacing w:before="90" w:after="100" w:afterAutospacing="1" w:line="360" w:lineRule="auto"/>
        <w:ind w:firstLine="420" w:firstLineChars="0"/>
        <w:jc w:val="left"/>
        <w:rPr>
          <w:rFonts w:hint="eastAsia" w:ascii="宋体" w:hAnsi="宋体" w:eastAsia="宋体" w:cs="宋体"/>
          <w:color w:val="333333"/>
          <w:kern w:val="0"/>
          <w:sz w:val="24"/>
          <w:szCs w:val="24"/>
        </w:rPr>
      </w:pPr>
    </w:p>
    <w:p>
      <w:pPr>
        <w:widowControl/>
        <w:spacing w:before="90" w:after="100" w:afterAutospacing="1" w:line="360" w:lineRule="auto"/>
        <w:ind w:firstLine="420" w:firstLineChars="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根据国家</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中华人民共和国民法典</w:t>
      </w:r>
      <w:r>
        <w:rPr>
          <w:rFonts w:hint="eastAsia" w:ascii="宋体" w:hAnsi="宋体" w:eastAsia="宋体" w:cs="宋体"/>
          <w:color w:val="333333"/>
          <w:kern w:val="0"/>
          <w:sz w:val="24"/>
          <w:szCs w:val="24"/>
          <w:lang w:eastAsia="zh-CN"/>
        </w:rPr>
        <w:t>》</w:t>
      </w:r>
      <w:r>
        <w:rPr>
          <w:rFonts w:hint="eastAsia" w:ascii="宋体" w:hAnsi="宋体" w:eastAsia="宋体" w:cs="宋体"/>
          <w:sz w:val="24"/>
          <w:szCs w:val="24"/>
        </w:rPr>
        <w:t>《中华人民共和国反不正当竞争法》</w:t>
      </w:r>
      <w:r>
        <w:rPr>
          <w:rFonts w:hint="eastAsia" w:ascii="宋体" w:hAnsi="宋体" w:eastAsia="宋体" w:cs="宋体"/>
          <w:color w:val="333333"/>
          <w:kern w:val="0"/>
          <w:sz w:val="24"/>
          <w:szCs w:val="24"/>
          <w:lang w:val="en-US" w:eastAsia="zh-CN"/>
        </w:rPr>
        <w:t>等</w:t>
      </w:r>
      <w:r>
        <w:rPr>
          <w:rFonts w:hint="eastAsia" w:ascii="宋体" w:hAnsi="宋体" w:eastAsia="宋体" w:cs="宋体"/>
          <w:color w:val="333333"/>
          <w:kern w:val="0"/>
          <w:sz w:val="24"/>
          <w:szCs w:val="24"/>
        </w:rPr>
        <w:t>有关法律法规规定，鉴于乙方在甲方任职，双方当事人就乙方在职或离职以后保密甲方的技术信息及经营信息之商业秘密的相关事项，本着自愿、公平及诚实守信的原则，经协商一致，订立下列具体条款：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第一条：商业保密范围</w:t>
      </w:r>
      <w:r>
        <w:rPr>
          <w:rFonts w:hint="eastAsia" w:ascii="宋体" w:hAnsi="宋体" w:eastAsia="宋体" w:cs="宋体"/>
          <w:sz w:val="24"/>
          <w:szCs w:val="24"/>
          <w:lang w:val="en-US" w:eastAsia="zh-CN"/>
        </w:rPr>
        <w:t>包括但不限于：</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公司重大决策中的秘密事项；</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公司尚未付诸实施的经营战略、经营方向、经营规划、经营项目及经营决策；</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公司内部掌握的合同、协议、意见书及可行性报告、主要会议记录；</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公司财务预决算报告及各类财务报表、统计报表；</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公司尚未刚开的企划方案、预算；</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公司职员人事档案、工资等资料；</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公司出资开发、研制、购买的软件；</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公司设计方案、客户资料；</w:t>
      </w:r>
    </w:p>
    <w:p>
      <w:pPr>
        <w:numPr>
          <w:ilvl w:val="-1"/>
          <w:numId w:val="0"/>
        </w:numPr>
        <w:spacing w:line="360" w:lineRule="auto"/>
        <w:ind w:left="0"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9、其他诸如此类的公司商业秘密。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第二条：财务机密保密范围</w:t>
      </w:r>
      <w:r>
        <w:rPr>
          <w:rFonts w:hint="eastAsia" w:ascii="宋体" w:hAnsi="宋体" w:eastAsia="宋体" w:cs="宋体"/>
          <w:sz w:val="24"/>
          <w:szCs w:val="24"/>
          <w:lang w:val="en-US" w:eastAsia="zh-CN"/>
        </w:rPr>
        <w:t>包括但不限于：</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公司财务状况、经营状况；</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财务部的收款、存款、付款、现金流量等财务状况；</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客户资料情况，合作伙伴情况，以及公司将要发展方向的方针、策略；</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材料设备采购方式、采购价、采购渠道、采购合同，分包商资料情况；</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合同及分包商合同、协议；</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在经营活动中的保密行为；</w:t>
      </w:r>
    </w:p>
    <w:p>
      <w:pPr>
        <w:numPr>
          <w:ilvl w:val="-1"/>
          <w:numId w:val="0"/>
        </w:numPr>
        <w:spacing w:line="360" w:lineRule="auto"/>
        <w:ind w:left="0" w:firstLine="42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公司领导临时交待的保密事项</w:t>
      </w:r>
      <w:r>
        <w:rPr>
          <w:rFonts w:hint="eastAsia" w:ascii="宋体" w:hAnsi="宋体" w:eastAsia="宋体" w:cs="宋体"/>
          <w:sz w:val="24"/>
          <w:szCs w:val="24"/>
          <w:lang w:val="en-US" w:eastAsia="zh-CN"/>
        </w:rPr>
        <w:t>等信息</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第三条：不泄露、不使用商业机密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乙方同意，在甲聘用期间以及聘用期终止之后，未经甲方书面同意，绝不公开发表或对其他人泄露甲方的任何商业机密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除非</w:t>
      </w:r>
      <w:r>
        <w:rPr>
          <w:rFonts w:hint="eastAsia" w:ascii="宋体" w:hAnsi="宋体" w:eastAsia="宋体" w:cs="宋体"/>
          <w:sz w:val="24"/>
          <w:szCs w:val="24"/>
        </w:rPr>
        <w:t>上述商业秘密</w:t>
      </w:r>
      <w:r>
        <w:rPr>
          <w:rFonts w:hint="eastAsia" w:ascii="宋体" w:hAnsi="宋体" w:eastAsia="宋体" w:cs="宋体"/>
          <w:sz w:val="24"/>
          <w:szCs w:val="24"/>
          <w:lang w:val="en-US" w:eastAsia="zh-CN"/>
        </w:rPr>
        <w:t>被主动</w:t>
      </w:r>
      <w:r>
        <w:rPr>
          <w:rFonts w:hint="eastAsia" w:ascii="宋体" w:hAnsi="宋体" w:eastAsia="宋体" w:cs="宋体"/>
          <w:sz w:val="24"/>
          <w:szCs w:val="24"/>
        </w:rPr>
        <w:t>公开</w:t>
      </w:r>
      <w:r>
        <w:rPr>
          <w:rFonts w:hint="eastAsia" w:ascii="宋体" w:hAnsi="宋体" w:eastAsia="宋体" w:cs="宋体"/>
          <w:sz w:val="24"/>
          <w:szCs w:val="24"/>
          <w:lang w:eastAsia="zh-CN"/>
        </w:rPr>
        <w:t>，</w:t>
      </w:r>
      <w:r>
        <w:rPr>
          <w:rFonts w:hint="eastAsia" w:ascii="宋体" w:hAnsi="宋体" w:eastAsia="宋体" w:cs="宋体"/>
          <w:sz w:val="24"/>
          <w:szCs w:val="24"/>
        </w:rPr>
        <w:t>被公众知悉时</w:t>
      </w:r>
      <w:r>
        <w:rPr>
          <w:rFonts w:hint="eastAsia" w:ascii="宋体" w:hAnsi="宋体" w:eastAsia="宋体" w:cs="宋体"/>
          <w:sz w:val="24"/>
          <w:szCs w:val="24"/>
          <w:lang w:val="en-US" w:eastAsia="zh-CN"/>
        </w:rPr>
        <w:t>或者相关法律法规另有规定，</w:t>
      </w:r>
      <w:r>
        <w:rPr>
          <w:rFonts w:hint="eastAsia" w:ascii="宋体" w:hAnsi="宋体" w:eastAsia="宋体" w:cs="宋体"/>
          <w:sz w:val="24"/>
          <w:szCs w:val="24"/>
        </w:rPr>
        <w:t>绝不为其他目的</w:t>
      </w:r>
      <w:r>
        <w:rPr>
          <w:rFonts w:hint="eastAsia" w:ascii="宋体" w:hAnsi="宋体" w:eastAsia="宋体" w:cs="宋体"/>
          <w:sz w:val="24"/>
          <w:szCs w:val="24"/>
          <w:lang w:val="en-US" w:eastAsia="zh-CN"/>
        </w:rPr>
        <w:t>使用</w:t>
      </w:r>
      <w:r>
        <w:rPr>
          <w:rFonts w:hint="eastAsia" w:ascii="宋体" w:hAnsi="宋体" w:eastAsia="宋体" w:cs="宋体"/>
          <w:sz w:val="24"/>
          <w:szCs w:val="24"/>
        </w:rPr>
        <w:t>甲方的任何商业机密，绝不复印、转移含有甲方商业秘密的资料。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条：蓄谋恶意损坏行为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鉴于乙方受聘用期间职位的特殊性，可能会掌握甲方更多、保密等级更高的商业秘密，乙方承诺：无论在甲方受聘用期间或者聘用结束（无论因何原因而结束）后，无论出自任何原因，乙方</w:t>
      </w:r>
      <w:r>
        <w:rPr>
          <w:rFonts w:hint="eastAsia" w:ascii="宋体" w:hAnsi="宋体" w:eastAsia="宋体" w:cs="宋体"/>
          <w:sz w:val="24"/>
          <w:szCs w:val="24"/>
          <w:lang w:val="en-US" w:eastAsia="zh-CN"/>
        </w:rPr>
        <w:t>均不得</w:t>
      </w:r>
      <w:r>
        <w:rPr>
          <w:rFonts w:hint="eastAsia" w:ascii="宋体" w:hAnsi="宋体" w:eastAsia="宋体" w:cs="宋体"/>
          <w:sz w:val="24"/>
          <w:szCs w:val="24"/>
        </w:rPr>
        <w:t>到工商、税务、劳动等相关单位</w:t>
      </w:r>
      <w:r>
        <w:rPr>
          <w:rFonts w:hint="eastAsia" w:ascii="宋体" w:hAnsi="宋体" w:eastAsia="宋体" w:cs="宋体"/>
          <w:sz w:val="24"/>
          <w:szCs w:val="24"/>
          <w:lang w:val="en-US" w:eastAsia="zh-CN"/>
        </w:rPr>
        <w:t>为发泄私愤进行恶意投诉或举报等行为</w:t>
      </w:r>
      <w:r>
        <w:rPr>
          <w:rFonts w:hint="eastAsia" w:ascii="宋体" w:hAnsi="宋体" w:eastAsia="宋体" w:cs="宋体"/>
          <w:sz w:val="24"/>
          <w:szCs w:val="24"/>
        </w:rPr>
        <w:t>，</w:t>
      </w:r>
      <w:r>
        <w:rPr>
          <w:rFonts w:hint="eastAsia" w:ascii="宋体" w:hAnsi="宋体" w:eastAsia="宋体" w:cs="宋体"/>
          <w:sz w:val="24"/>
          <w:szCs w:val="24"/>
          <w:lang w:val="en-US" w:eastAsia="zh-CN"/>
        </w:rPr>
        <w:t>以上行为</w:t>
      </w:r>
      <w:r>
        <w:rPr>
          <w:rFonts w:hint="eastAsia" w:ascii="宋体" w:hAnsi="宋体" w:eastAsia="宋体" w:cs="宋体"/>
          <w:sz w:val="24"/>
          <w:szCs w:val="24"/>
        </w:rPr>
        <w:t>损坏</w:t>
      </w:r>
      <w:r>
        <w:rPr>
          <w:rFonts w:hint="eastAsia" w:ascii="宋体" w:hAnsi="宋体" w:eastAsia="宋体" w:cs="宋体"/>
          <w:sz w:val="24"/>
          <w:szCs w:val="24"/>
          <w:lang w:val="en-US" w:eastAsia="zh-CN"/>
        </w:rPr>
        <w:t>了</w:t>
      </w:r>
      <w:r>
        <w:rPr>
          <w:rFonts w:hint="eastAsia" w:ascii="宋体" w:hAnsi="宋体" w:eastAsia="宋体" w:cs="宋体"/>
          <w:sz w:val="24"/>
          <w:szCs w:val="24"/>
        </w:rPr>
        <w:t>甲方名誉及利益，由此造成的一切后果均由乙方自行承担。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五</w:t>
      </w:r>
      <w:r>
        <w:rPr>
          <w:rFonts w:hint="eastAsia" w:ascii="宋体" w:hAnsi="宋体" w:eastAsia="宋体" w:cs="宋体"/>
          <w:sz w:val="24"/>
          <w:szCs w:val="24"/>
        </w:rPr>
        <w:t>条：聘用期终止后的义务</w:t>
      </w:r>
    </w:p>
    <w:p>
      <w:pPr>
        <w:numPr>
          <w:ilvl w:val="0"/>
          <w:numId w:val="0"/>
        </w:numPr>
        <w:spacing w:line="360" w:lineRule="auto"/>
        <w:ind w:leftChars="0" w:firstLine="480" w:firstLineChars="200"/>
        <w:rPr>
          <w:rFonts w:hint="eastAsia" w:ascii="宋体" w:hAnsi="宋体" w:eastAsia="宋体" w:cs="宋体"/>
          <w:sz w:val="24"/>
          <w:szCs w:val="24"/>
        </w:rPr>
      </w:pPr>
      <w:r>
        <w:rPr>
          <w:rFonts w:hint="eastAsia" w:ascii="宋体" w:hAnsi="宋体" w:eastAsia="宋体" w:cs="宋体"/>
          <w:sz w:val="24"/>
          <w:szCs w:val="24"/>
        </w:rPr>
        <w:t>当聘用期无论由于何种原因终止时，乙方同意立即向甲方移交自己所掌握的，包含有职务开发中商业秘密的文档、记录、笔记、提纲、数据、源程序、目标程序、模型、样品以及任何其他资料，并办妥有关</w:t>
      </w:r>
      <w:r>
        <w:rPr>
          <w:rFonts w:hint="eastAsia" w:ascii="宋体" w:hAnsi="宋体" w:eastAsia="宋体" w:cs="宋体"/>
          <w:sz w:val="24"/>
          <w:szCs w:val="24"/>
          <w:lang w:val="en-US" w:eastAsia="zh-CN"/>
        </w:rPr>
        <w:t>交接</w:t>
      </w:r>
      <w:r>
        <w:rPr>
          <w:rFonts w:hint="eastAsia" w:ascii="宋体" w:hAnsi="宋体" w:eastAsia="宋体" w:cs="宋体"/>
          <w:sz w:val="24"/>
          <w:szCs w:val="24"/>
        </w:rPr>
        <w:t>手续。</w:t>
      </w:r>
    </w:p>
    <w:p>
      <w:pPr>
        <w:numPr>
          <w:ilvl w:val="-1"/>
          <w:numId w:val="0"/>
        </w:numPr>
        <w:spacing w:line="36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第六条</w:t>
      </w:r>
      <w:r>
        <w:rPr>
          <w:rFonts w:hint="eastAsia" w:ascii="宋体" w:hAnsi="宋体" w:eastAsia="宋体" w:cs="宋体"/>
          <w:sz w:val="24"/>
          <w:szCs w:val="24"/>
        </w:rPr>
        <w:t>：</w:t>
      </w:r>
      <w:r>
        <w:rPr>
          <w:rFonts w:hint="eastAsia" w:ascii="宋体" w:hAnsi="宋体" w:eastAsia="宋体" w:cs="宋体"/>
          <w:sz w:val="24"/>
          <w:szCs w:val="24"/>
          <w:lang w:val="en-US" w:eastAsia="zh-CN"/>
        </w:rPr>
        <w:t>违约</w:t>
      </w:r>
      <w:r>
        <w:rPr>
          <w:rFonts w:hint="eastAsia" w:ascii="宋体" w:hAnsi="宋体" w:eastAsia="宋体" w:cs="宋体"/>
          <w:sz w:val="24"/>
          <w:szCs w:val="24"/>
        </w:rPr>
        <w:t>责任</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乙方利用甲方无形资产获取的利益，甲方有权要求乙方交付给甲方，并保留诉讼的权利。</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乙方违反本协议的义务</w:t>
      </w:r>
      <w:r>
        <w:rPr>
          <w:rFonts w:hint="eastAsia" w:ascii="宋体" w:hAnsi="宋体" w:eastAsia="宋体" w:cs="宋体"/>
          <w:sz w:val="24"/>
          <w:szCs w:val="24"/>
          <w:lang w:eastAsia="zh-CN"/>
        </w:rPr>
        <w:t>，</w:t>
      </w:r>
      <w:r>
        <w:rPr>
          <w:rFonts w:hint="eastAsia" w:ascii="宋体" w:hAnsi="宋体" w:eastAsia="宋体" w:cs="宋体"/>
          <w:sz w:val="24"/>
          <w:szCs w:val="24"/>
        </w:rPr>
        <w:t>应赔偿甲方全部损失，赔偿范围包括但不限于甲方的名誉损失、直接损失和可得利益的损失，以及调查费用和</w:t>
      </w:r>
      <w:r>
        <w:rPr>
          <w:rFonts w:hint="eastAsia" w:ascii="宋体" w:hAnsi="宋体" w:eastAsia="宋体" w:cs="宋体"/>
          <w:sz w:val="24"/>
          <w:szCs w:val="24"/>
          <w:lang w:val="en-US" w:eastAsia="zh-CN"/>
        </w:rPr>
        <w:t>公证费用、</w:t>
      </w:r>
      <w:r>
        <w:rPr>
          <w:rFonts w:hint="eastAsia" w:ascii="宋体" w:hAnsi="宋体" w:eastAsia="宋体" w:cs="宋体"/>
          <w:sz w:val="24"/>
          <w:szCs w:val="24"/>
        </w:rPr>
        <w:t>诉讼费用、律师费用</w:t>
      </w:r>
      <w:r>
        <w:rPr>
          <w:rFonts w:hint="eastAsia" w:ascii="宋体" w:hAnsi="宋体" w:eastAsia="宋体" w:cs="宋体"/>
          <w:sz w:val="24"/>
          <w:szCs w:val="24"/>
          <w:lang w:val="en-US" w:eastAsia="zh-CN"/>
        </w:rPr>
        <w:t>等费用</w:t>
      </w:r>
      <w:r>
        <w:rPr>
          <w:rFonts w:hint="eastAsia" w:ascii="宋体" w:hAnsi="宋体" w:eastAsia="宋体" w:cs="宋体"/>
          <w:sz w:val="24"/>
          <w:szCs w:val="24"/>
          <w:lang w:eastAsia="zh-CN"/>
        </w:rPr>
        <w:t>。</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乙方违反本协议的，应向对方支付违约金，违约金数额以乙方月工资标准的五倍计</w:t>
      </w:r>
      <w:r>
        <w:rPr>
          <w:rFonts w:hint="eastAsia" w:ascii="宋体" w:hAnsi="宋体" w:eastAsia="宋体" w:cs="宋体"/>
          <w:sz w:val="24"/>
          <w:szCs w:val="24"/>
          <w:lang w:val="en-US" w:eastAsia="zh-CN"/>
        </w:rPr>
        <w:t>算</w:t>
      </w:r>
      <w:r>
        <w:rPr>
          <w:rFonts w:hint="eastAsia" w:ascii="宋体" w:hAnsi="宋体" w:eastAsia="宋体" w:cs="宋体"/>
          <w:sz w:val="24"/>
          <w:szCs w:val="24"/>
        </w:rPr>
        <w:t>。</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乙方违反本协议造成甲方商业信誉、商业营业上</w:t>
      </w:r>
      <w:r>
        <w:rPr>
          <w:rFonts w:hint="eastAsia" w:ascii="宋体" w:hAnsi="宋体" w:eastAsia="宋体" w:cs="宋体"/>
          <w:sz w:val="24"/>
          <w:szCs w:val="24"/>
          <w:lang w:val="en-US" w:eastAsia="zh-CN"/>
        </w:rPr>
        <w:t>的</w:t>
      </w:r>
      <w:r>
        <w:rPr>
          <w:rFonts w:hint="eastAsia" w:ascii="宋体" w:hAnsi="宋体" w:eastAsia="宋体" w:cs="宋体"/>
          <w:sz w:val="24"/>
          <w:szCs w:val="24"/>
        </w:rPr>
        <w:t>损害，违约金不足以弥补甲方所受损失时，乙方应赔偿不足部分的损失。造成重大损失的，有权追究其刑事责任。</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乙方违反本协议任何条款的行为均视为严重违反劳动纪律和甲方规章制度，无论违约金及损失赔偿金给付与否，甲方均有权不经预告立即解除与</w:t>
      </w:r>
      <w:r>
        <w:rPr>
          <w:rFonts w:hint="eastAsia" w:ascii="宋体" w:hAnsi="宋体" w:eastAsia="宋体" w:cs="宋体"/>
          <w:sz w:val="24"/>
          <w:szCs w:val="24"/>
          <w:lang w:val="en-US" w:eastAsia="zh-CN"/>
        </w:rPr>
        <w:t>乙</w:t>
      </w:r>
      <w:r>
        <w:rPr>
          <w:rFonts w:hint="eastAsia" w:ascii="宋体" w:hAnsi="宋体" w:eastAsia="宋体" w:cs="宋体"/>
          <w:sz w:val="24"/>
          <w:szCs w:val="24"/>
        </w:rPr>
        <w:t>方的</w:t>
      </w:r>
      <w:r>
        <w:rPr>
          <w:rFonts w:hint="eastAsia" w:ascii="宋体" w:hAnsi="宋体" w:eastAsia="宋体" w:cs="宋体"/>
          <w:sz w:val="24"/>
          <w:szCs w:val="24"/>
          <w:lang w:val="en-US" w:eastAsia="zh-CN"/>
        </w:rPr>
        <w:t>劳动</w:t>
      </w:r>
      <w:r>
        <w:rPr>
          <w:rFonts w:hint="eastAsia" w:ascii="宋体" w:hAnsi="宋体" w:eastAsia="宋体" w:cs="宋体"/>
          <w:sz w:val="24"/>
          <w:szCs w:val="24"/>
        </w:rPr>
        <w:t>聘用关系。</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第七条：争议的解决</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rPr>
        <w:t>由本协议产生的一切争议由双方友好协商解决。协商不成</w:t>
      </w:r>
      <w:r>
        <w:rPr>
          <w:rFonts w:hint="eastAsia" w:ascii="宋体" w:hAnsi="宋体" w:eastAsia="宋体" w:cs="宋体"/>
          <w:sz w:val="24"/>
          <w:szCs w:val="24"/>
          <w:lang w:eastAsia="zh-CN"/>
        </w:rPr>
        <w:t>，则任何一方有权向甲方所在的人民法院提起诉讼，通过法律程序予以解决。</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第八条：合同的生效</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本协议一式两份，甲乙双方各执一份</w:t>
      </w:r>
      <w:r>
        <w:rPr>
          <w:rFonts w:hint="eastAsia" w:ascii="宋体" w:hAnsi="宋体" w:eastAsia="宋体" w:cs="宋体"/>
          <w:sz w:val="24"/>
          <w:szCs w:val="24"/>
          <w:lang w:eastAsia="zh-CN"/>
        </w:rPr>
        <w:t>，具有同等法律效力</w:t>
      </w:r>
      <w:r>
        <w:rPr>
          <w:rFonts w:hint="eastAsia" w:ascii="宋体" w:hAnsi="宋体" w:eastAsia="宋体" w:cs="宋体"/>
          <w:sz w:val="24"/>
          <w:szCs w:val="24"/>
        </w:rPr>
        <w:t>。</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本协议</w:t>
      </w:r>
      <w:r>
        <w:rPr>
          <w:rFonts w:hint="eastAsia" w:ascii="宋体" w:hAnsi="宋体" w:eastAsia="宋体" w:cs="宋体"/>
          <w:sz w:val="24"/>
          <w:szCs w:val="24"/>
          <w:lang w:val="en-US" w:eastAsia="zh-CN"/>
        </w:rPr>
        <w:t>自甲、乙双方签字、盖章后</w:t>
      </w:r>
      <w:r>
        <w:rPr>
          <w:rFonts w:hint="eastAsia" w:ascii="宋体" w:hAnsi="宋体" w:eastAsia="宋体" w:cs="宋体"/>
          <w:sz w:val="24"/>
          <w:szCs w:val="24"/>
        </w:rPr>
        <w:t>生效，双方此前的口头或书面的协议与本协议的内容相抵触的，按照本协议执行。双方协商一致可以变更本协议，但应当采取书面形式。</w:t>
      </w:r>
    </w:p>
    <w:p>
      <w:pPr>
        <w:spacing w:line="360" w:lineRule="auto"/>
        <w:ind w:firstLine="420"/>
        <w:rPr>
          <w:rFonts w:hint="eastAsia" w:ascii="宋体" w:hAnsi="宋体" w:eastAsia="宋体" w:cs="宋体"/>
          <w:sz w:val="24"/>
          <w:szCs w:val="24"/>
        </w:rPr>
      </w:pPr>
    </w:p>
    <w:p>
      <w:pPr>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(以下无正文）</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甲方（盖章） </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rPr>
        <w:t>乙方（签字）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法人</w:t>
      </w:r>
      <w:r>
        <w:rPr>
          <w:rFonts w:hint="eastAsia" w:ascii="宋体" w:hAnsi="宋体" w:eastAsia="宋体" w:cs="宋体"/>
          <w:sz w:val="24"/>
          <w:szCs w:val="24"/>
        </w:rPr>
        <w:t>代表</w:t>
      </w:r>
      <w:r>
        <w:rPr>
          <w:rFonts w:hint="eastAsia" w:ascii="宋体" w:hAnsi="宋体" w:eastAsia="宋体" w:cs="宋体"/>
          <w:sz w:val="24"/>
          <w:szCs w:val="24"/>
          <w:lang w:val="en-US" w:eastAsia="zh-CN"/>
        </w:rPr>
        <w:t>或授权代表</w:t>
      </w:r>
      <w:r>
        <w:rPr>
          <w:rFonts w:hint="eastAsia" w:ascii="宋体" w:hAnsi="宋体" w:eastAsia="宋体" w:cs="宋体"/>
          <w:sz w:val="24"/>
          <w:szCs w:val="24"/>
        </w:rPr>
        <w:t>（签</w:t>
      </w:r>
      <w:r>
        <w:rPr>
          <w:rFonts w:hint="eastAsia" w:ascii="宋体" w:hAnsi="宋体" w:eastAsia="宋体" w:cs="宋体"/>
          <w:sz w:val="24"/>
          <w:szCs w:val="24"/>
          <w:lang w:val="en-US" w:eastAsia="zh-CN"/>
        </w:rPr>
        <w:t>章</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时间：   年   月   日                        时间：    年   月   日</w:t>
      </w:r>
    </w:p>
    <w:p>
      <w:pPr>
        <w:numPr>
          <w:ilvl w:val="0"/>
          <w:numId w:val="0"/>
        </w:numPr>
        <w:spacing w:line="360" w:lineRule="auto"/>
        <w:ind w:left="435" w:leftChars="0"/>
        <w:rPr>
          <w:rFonts w:hint="eastAsia" w:ascii="宋体" w:hAnsi="宋体" w:eastAsia="宋体" w:cs="宋体"/>
          <w:sz w:val="24"/>
          <w:szCs w:val="24"/>
        </w:rPr>
      </w:pPr>
    </w:p>
    <w:p>
      <w:pPr>
        <w:numPr>
          <w:ilvl w:val="0"/>
          <w:numId w:val="0"/>
        </w:numPr>
        <w:spacing w:line="360" w:lineRule="auto"/>
        <w:ind w:leftChars="0"/>
        <w:rPr>
          <w:rFonts w:hint="eastAsia" w:ascii="宋体" w:hAnsi="宋体" w:eastAsia="宋体" w:cs="宋体"/>
          <w:sz w:val="24"/>
          <w:szCs w:val="24"/>
        </w:rPr>
      </w:pPr>
    </w:p>
    <w:p>
      <w:pPr>
        <w:numPr>
          <w:ilvl w:val="0"/>
          <w:numId w:val="0"/>
        </w:numPr>
        <w:spacing w:line="360" w:lineRule="auto"/>
        <w:ind w:left="960" w:leftChars="0"/>
        <w:rPr>
          <w:rFonts w:hint="eastAsia" w:ascii="宋体" w:hAnsi="宋体" w:eastAsia="宋体" w:cs="宋体"/>
          <w:sz w:val="24"/>
          <w:szCs w:val="24"/>
        </w:rPr>
      </w:pPr>
    </w:p>
    <w:p>
      <w:pPr>
        <w:widowControl/>
        <w:spacing w:before="90" w:after="100" w:afterAutospacing="1" w:line="360" w:lineRule="auto"/>
        <w:ind w:firstLine="600" w:firstLineChars="250"/>
        <w:jc w:val="left"/>
        <w:rPr>
          <w:rFonts w:hint="eastAsia" w:ascii="宋体" w:hAnsi="宋体" w:eastAsia="宋体" w:cs="宋体"/>
          <w:color w:val="333333"/>
          <w:kern w:val="0"/>
          <w:sz w:val="24"/>
          <w:szCs w:val="24"/>
        </w:rPr>
      </w:pPr>
    </w:p>
    <w:p>
      <w:pPr>
        <w:widowControl/>
        <w:spacing w:before="90" w:after="100" w:afterAutospacing="1" w:line="360" w:lineRule="auto"/>
        <w:ind w:firstLine="600" w:firstLineChars="250"/>
        <w:jc w:val="left"/>
        <w:rPr>
          <w:rFonts w:hint="eastAsia" w:ascii="宋体" w:hAnsi="宋体" w:eastAsia="宋体" w:cs="宋体"/>
          <w:color w:val="333333"/>
          <w:kern w:val="0"/>
          <w:sz w:val="24"/>
          <w:szCs w:val="24"/>
        </w:rPr>
      </w:pPr>
    </w:p>
    <w:p>
      <w:pPr>
        <w:ind w:firstLine="960" w:firstLineChars="400"/>
        <w:rPr>
          <w:rFonts w:hint="eastAsia" w:ascii="宋体" w:hAnsi="宋体" w:eastAsia="宋体" w:cs="宋体"/>
          <w:sz w:val="24"/>
          <w:szCs w:val="24"/>
          <w:u w:val="single"/>
          <w:lang w:val="en-US" w:eastAsia="zh-CN"/>
        </w:rPr>
      </w:pPr>
    </w:p>
    <w:p>
      <w:pPr>
        <w:jc w:val="center"/>
        <w:rPr>
          <w:rFonts w:hint="eastAsia" w:ascii="宋体" w:hAnsi="宋体" w:eastAsia="宋体" w:cs="宋体"/>
          <w:sz w:val="24"/>
          <w:szCs w:val="24"/>
        </w:rPr>
      </w:pPr>
    </w:p>
    <w:sectPr>
      <w:headerReference r:id="rId3" w:type="default"/>
      <w:footerReference r:id="rId4" w:type="default"/>
      <w:pgSz w:w="11906" w:h="16838"/>
      <w:pgMar w:top="1440" w:right="1080" w:bottom="1440" w:left="1080" w:header="0"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wKEt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25Qr8i5MMInS2Hqy4rAbJp47156Q&#10;Zo/70FCL60+J/mxR7rQ6sxFmYzcbBx/Uvsu7lWqB/3CI2FtuOVUYYZFqcnCQmfS0dGlT/vZz1v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tcChLXAQAAsAMAAA4AAAAAAAAAAQAgAAAA&#10;HgEAAGRycy9lMm9Eb2MueG1sUEsFBgAAAAAGAAYAWQEAAGc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9A"/>
    <w:rsid w:val="00070D14"/>
    <w:rsid w:val="001907A5"/>
    <w:rsid w:val="001E2107"/>
    <w:rsid w:val="002678EF"/>
    <w:rsid w:val="002C1C9A"/>
    <w:rsid w:val="002C3C7F"/>
    <w:rsid w:val="002F2586"/>
    <w:rsid w:val="00346D7B"/>
    <w:rsid w:val="003A6B13"/>
    <w:rsid w:val="004E3A3C"/>
    <w:rsid w:val="00503679"/>
    <w:rsid w:val="005B0945"/>
    <w:rsid w:val="005D0ED1"/>
    <w:rsid w:val="00611B90"/>
    <w:rsid w:val="006742D2"/>
    <w:rsid w:val="00702A64"/>
    <w:rsid w:val="0076292E"/>
    <w:rsid w:val="00837A15"/>
    <w:rsid w:val="00862E56"/>
    <w:rsid w:val="00907711"/>
    <w:rsid w:val="00965A26"/>
    <w:rsid w:val="009A60D9"/>
    <w:rsid w:val="00A47C5A"/>
    <w:rsid w:val="00AD3D57"/>
    <w:rsid w:val="00BB00E8"/>
    <w:rsid w:val="00C52677"/>
    <w:rsid w:val="00C67145"/>
    <w:rsid w:val="00CA6E8A"/>
    <w:rsid w:val="00CC25EA"/>
    <w:rsid w:val="00CE16FA"/>
    <w:rsid w:val="00D06A74"/>
    <w:rsid w:val="00D82B1E"/>
    <w:rsid w:val="00DA28A9"/>
    <w:rsid w:val="00DC0C70"/>
    <w:rsid w:val="00E86379"/>
    <w:rsid w:val="0BD225CF"/>
    <w:rsid w:val="0EDD2D62"/>
    <w:rsid w:val="0FF80B56"/>
    <w:rsid w:val="125C58BA"/>
    <w:rsid w:val="12EA5C91"/>
    <w:rsid w:val="1EDB305F"/>
    <w:rsid w:val="27402D97"/>
    <w:rsid w:val="290456A2"/>
    <w:rsid w:val="30A5108B"/>
    <w:rsid w:val="37F16516"/>
    <w:rsid w:val="3CE94E86"/>
    <w:rsid w:val="3F470045"/>
    <w:rsid w:val="480F14E5"/>
    <w:rsid w:val="4CEE2CF0"/>
    <w:rsid w:val="4D120F94"/>
    <w:rsid w:val="4E2E5752"/>
    <w:rsid w:val="592B3B70"/>
    <w:rsid w:val="5BE27636"/>
    <w:rsid w:val="5FC47F90"/>
    <w:rsid w:val="642C55DC"/>
    <w:rsid w:val="65B93D04"/>
    <w:rsid w:val="6BD16B5F"/>
    <w:rsid w:val="77151B70"/>
    <w:rsid w:val="797223C5"/>
    <w:rsid w:val="7BAC6E72"/>
    <w:rsid w:val="7C69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页眉 字符"/>
    <w:basedOn w:val="12"/>
    <w:link w:val="6"/>
    <w:qFormat/>
    <w:uiPriority w:val="99"/>
    <w:rPr>
      <w:sz w:val="18"/>
      <w:szCs w:val="18"/>
    </w:rPr>
  </w:style>
  <w:style w:type="character" w:customStyle="1" w:styleId="17">
    <w:name w:val="页脚 字符"/>
    <w:basedOn w:val="12"/>
    <w:link w:val="5"/>
    <w:qFormat/>
    <w:uiPriority w:val="99"/>
    <w:rPr>
      <w:sz w:val="18"/>
      <w:szCs w:val="18"/>
    </w:rPr>
  </w:style>
  <w:style w:type="character" w:customStyle="1" w:styleId="18">
    <w:name w:val="标题 1 字符"/>
    <w:basedOn w:val="12"/>
    <w:link w:val="2"/>
    <w:qFormat/>
    <w:uiPriority w:val="9"/>
    <w:rPr>
      <w:b/>
      <w:bCs/>
      <w:kern w:val="44"/>
      <w:sz w:val="44"/>
      <w:szCs w:val="44"/>
    </w:rPr>
  </w:style>
  <w:style w:type="character" w:customStyle="1" w:styleId="19">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20">
    <w:name w:val="标题 3 字符"/>
    <w:basedOn w:val="12"/>
    <w:link w:val="4"/>
    <w:semiHidden/>
    <w:qFormat/>
    <w:uiPriority w:val="9"/>
    <w:rPr>
      <w:b/>
      <w:bCs/>
      <w:sz w:val="32"/>
      <w:szCs w:val="32"/>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封面"/>
    <w:basedOn w:val="1"/>
    <w:qFormat/>
    <w:uiPriority w:val="0"/>
    <w:pPr>
      <w:widowControl/>
      <w:spacing w:line="500" w:lineRule="exact"/>
      <w:ind w:firstLine="200"/>
      <w:jc w:val="left"/>
    </w:pPr>
    <w:rPr>
      <w:rFonts w:eastAsia="隶书"/>
      <w:kern w:val="0"/>
      <w:sz w:val="72"/>
      <w:szCs w:val="20"/>
    </w:rPr>
  </w:style>
  <w:style w:type="paragraph" w:customStyle="1" w:styleId="24">
    <w:name w:val="p"/>
    <w:basedOn w:val="1"/>
    <w:qFormat/>
    <w:uiPriority w:val="0"/>
    <w:pPr>
      <w:spacing w:line="525" w:lineRule="atLeast"/>
      <w:ind w:firstLine="375"/>
    </w:pPr>
    <w:rPr>
      <w:kern w:val="0"/>
      <w:sz w:val="24"/>
      <w:lang w:val="en-US" w:eastAsia="zh-CN" w:bidi="ar"/>
    </w:rPr>
  </w:style>
  <w:style w:type="paragraph" w:customStyle="1" w:styleId="25">
    <w:name w:val="标题 2 + 段后: 0 磅"/>
    <w:basedOn w:val="3"/>
    <w:qFormat/>
    <w:uiPriority w:val="0"/>
    <w:pPr>
      <w:spacing w:before="480" w:after="0"/>
    </w:pPr>
    <w:rPr>
      <w:rFonts w:cs="宋体"/>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FEF83-BCCE-4608-9364-2C5ED913C01E}">
  <ds:schemaRefs/>
</ds:datastoreItem>
</file>

<file path=docProps/app.xml><?xml version="1.0" encoding="utf-8"?>
<Properties xmlns="http://schemas.openxmlformats.org/officeDocument/2006/extended-properties" xmlns:vt="http://schemas.openxmlformats.org/officeDocument/2006/docPropsVTypes">
  <Template>Normal</Template>
  <Pages>13</Pages>
  <Words>3615</Words>
  <Characters>3752</Characters>
  <Lines>41</Lines>
  <Paragraphs>11</Paragraphs>
  <TotalTime>3</TotalTime>
  <ScaleCrop>false</ScaleCrop>
  <LinksUpToDate>false</LinksUpToDate>
  <CharactersWithSpaces>3992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2021-10-26T06:11:00Z</dcterms:created>
  <dc:creator>惠银银</dc:creator>
  <cp:lastModifiedBy>万律365</cp:lastModifiedBy>
  <dcterms:modified xsi:type="dcterms:W3CDTF">2022-02-15T03:36:34Z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68B56BAF99F94587AC106B0F5AEEA2C8</vt:lpwstr>
  </property>
</Properties>
</file>