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庭院工程设计合同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甲方（设计委托方）：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乙方（设计方）：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甲方委托乙方承担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庭院景观工程设计，经双方协商一致，签订本合同。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本合同依据下列文件签订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《中华人民共和国合同法》、《中华人民共和国建筑法》。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国家及地方有关建设工程勘察设计管理法规和规章。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相关准予建设、改造批准文件。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 xml:space="preserve">第2条 </w:t>
      </w:r>
      <w:bookmarkStart w:id="0" w:name="_GoBack"/>
      <w:r>
        <w:rPr>
          <w:rStyle w:val="8"/>
          <w:rFonts w:hint="eastAsia" w:ascii="宋体" w:hAnsi="宋体" w:eastAsia="宋体" w:cs="宋体"/>
          <w:b/>
          <w:sz w:val="24"/>
          <w:szCs w:val="24"/>
        </w:rPr>
        <w:t>设计委托内容及费用支付方式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委托项目概况：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甲方提交给乙方的资料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4097"/>
        <w:gridCol w:w="481"/>
        <w:gridCol w:w="3038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资料及文件名称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份数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提交日期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建筑及及室内布置设计图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个工作日内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道路规划、设计地形及标高图（在建项目）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建筑设计及效果图（在建项目）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管网布置图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甲方其他设计要求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注：如甲方未能提供测量资料或测量资料不完整，需乙方到现场测量场地，数据收集工作，乙方按以下表格收取费用：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986"/>
        <w:gridCol w:w="1824"/>
        <w:gridCol w:w="689"/>
        <w:gridCol w:w="1987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测量场地面积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收取费用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测量场地面积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收取费用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0~100㎡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301~600㎡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101~200㎡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601~1000㎡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201~300㎡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1001㎡以上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（1）如场地需要清理的，按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标准加收清理费；外埠工程按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标准加收差旅费；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2）测量工作为：勘测、拍摄现场环境、绘制原始测量图，计算庭院面积，初步分析庭院现状、周边环境及空间布局的可行性等；勘查绘制的原始测量图所需包括的主要内容：建筑的外轮廓尺寸、庭院场地的轮廓尺寸、庭院的原始标高、设施的定位（总水源、设备井、窨井、集水井、排水沟、原室内总电源配电箱，电源出户点，场内现有配电箱，空调外机等其它设备室外机等）、确定乔灌木树和其他植物的位置、周边的环境及其它场地隐藏项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 乙方设计职责及工作服务范围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2.4.1 主要工作内容：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2.4.1.1 依据已经确定的规划总图或设计范围，对除建筑以外的庭院景观工程进行方案及技术设计，包括场地设计、地形设计、绿化、铺装、小品、室外景观照明、场地给排水管网及其他庭院景观设施设计。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2.4.1.2 按照委托单位对工程造价的控制要求，从设计的角度对庭院景观工程的造价进行控制。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2.4.1.3 负责设计技术交底及施工现场技术跟踪服务（在施工过程中进行二次至三次的现场指导【外埠工程加收差旅费】，如施工过程指导超过三次的，客户需另行支付现场指导费，每次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元【外埠工程加收差旅费】），积极协助委托单位处理施工过程中的技术问题，依据现场实际情况及时作出相应的设计调整。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2.4.1.4 参与各专项工程验收及竣工验收，并提出书面验收意见及整改意见。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2.4.2 各阶段主要提交资料：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2.4.2.1 方案阶段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（1）庭院景观构思及意向；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（2）总平面布置图；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（3）功能、交通、竖向、景观分析图；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（4）节点意向图；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（5）造价估算。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2.4.2.2 扩初阶段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（1）总平面图；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（2）平面尺寸设计图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（3）重点区域电脑效果图；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（4）分区放大平面图；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（5）重点景观示意图及透视图；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（6）铺装及其它主要材质应用设计图；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（7）植物设计及意向图；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（8）竖向标高设计图；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（9）灯光设计图；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（10）给排水设计图；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（11）主要节点立面设计图；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（12）设计说明。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2.4.2.3 施工图设计阶段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（1）土建装饰部分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总说明及目录；总平面图、定位放线平面图、索引平面图、竖向标高平面图、铺装材料平面图和铺装材料表（材料规格、尺寸、色彩）、重要节点放大平面图；土壤造型详图；铺地、台阶、道路、路沿、汀步、花槽、座凳、栏杆、花架、廊架、景墙等设计详图；水景、喷泉等设计详图；围墙、景观小品等设计详图；场地内挡土墙装饰设计及小型挡土墙（高度在2M以下）结构设计；垃圾桶、指示牌、花钵、艺术小品等选型图；地表排水详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（2）植物部分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设计总说明及目录；乔木、灌木、地被植物种植平面图；植物配置表（乔灌木的品种、胸径、冠幅、高度及相应数量）；场地断面植物配置效果示意图；植物规范说明及植物种植、保养说明。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（3）给排水部分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设计说明及目录；给水总平面图；排水总平面图；水景、喷泉、游泳池等系统设计图及安装大样图；主要设备及材料表。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（4）电气部分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设计说明及目录；电气总平面图；景观照明设计及系统控制设计详图；安装大样图；灯具选型意向图；主要电气设备及材料表。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（5）工程概算书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2.4.2.4 后期施工服务配合阶段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设计师到施工现场服务交底施工节点，包含：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（1）施工交底；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（2）平面放线验收；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（3）基础平场验收；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（4）管网及隐蔽工程验收；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（5）硬景基础与结构基坑验收；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（6）面材确定及面材打样；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（7）设计变更；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（8）种植土壤与地形造景验收植物放线与乔木点位验收；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（9）工程完工竣工验收；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（注：设计后期施工服务，工作性质为协助业主监督施工方按图施工，操作是否规范，有无项目遗留；但不负责教授施工单位施工技术与工艺技巧，因此业主选择需专业的施工团队予以配合）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 服务阶段及成果图纸内容提交时间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7076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工作阶段</w:t>
            </w:r>
          </w:p>
        </w:tc>
        <w:tc>
          <w:tcPr>
            <w:tcW w:w="7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方案设计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阶  段</w:t>
            </w:r>
          </w:p>
        </w:tc>
        <w:tc>
          <w:tcPr>
            <w:tcW w:w="7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合同签定，提供基础资料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日内完成初稿交甲方征求意见，并按甲方意见进行调整完善直至方案确定。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A3文本肆套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施工图设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计（送审）</w:t>
            </w:r>
          </w:p>
        </w:tc>
        <w:tc>
          <w:tcPr>
            <w:tcW w:w="7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初设确定并得到甲方正式通知后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日内。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白图贰套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 工 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设计成果</w:t>
            </w:r>
          </w:p>
        </w:tc>
        <w:tc>
          <w:tcPr>
            <w:tcW w:w="7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甲方反馈施工图审查意见后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日内。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白图贰套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 设计费及支付方式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2.6.1 本合同甲方应支付总金额暂定为人民币（大写）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2.6.2 测量费用为：人民币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2.6.3 设计收费标准为：人民币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元/㎡，设计面积：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㎡，设计费用为：人民币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设计收费标准为：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本案选择设计总监：人民币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ascii="Calibri" w:hAnsi="Calibri" w:eastAsia="宋体" w:cs="Calibri"/>
          <w:sz w:val="24"/>
          <w:szCs w:val="24"/>
          <w:lang w:val="en-US"/>
        </w:rPr>
        <w:t>m</w:t>
      </w:r>
      <w:r>
        <w:rPr>
          <w:rFonts w:hint="default" w:ascii="Calibri" w:hAnsi="Calibri" w:eastAsia="宋体" w:cs="Calibri"/>
          <w:sz w:val="24"/>
          <w:szCs w:val="24"/>
          <w:vertAlign w:val="superscript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（ 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本案选择首席设计师：人民币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hint="default" w:ascii="Calibri" w:hAnsi="Calibri" w:eastAsia="宋体" w:cs="Calibri"/>
          <w:sz w:val="24"/>
          <w:szCs w:val="24"/>
          <w:lang w:val="en-US"/>
        </w:rPr>
        <w:t>m</w:t>
      </w:r>
      <w:r>
        <w:rPr>
          <w:rFonts w:hint="default" w:ascii="Calibri" w:hAnsi="Calibri" w:eastAsia="宋体" w:cs="Calibri"/>
          <w:sz w:val="24"/>
          <w:szCs w:val="24"/>
          <w:vertAlign w:val="superscript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（ 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本案选择主案设计师：人民币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</w:t>
      </w:r>
      <w:r>
        <w:rPr>
          <w:rFonts w:hint="default" w:ascii="Calibri" w:hAnsi="Calibri" w:eastAsia="宋体" w:cs="Calibri"/>
          <w:sz w:val="24"/>
          <w:szCs w:val="24"/>
          <w:lang w:val="en-US"/>
        </w:rPr>
        <w:t>m</w:t>
      </w:r>
      <w:r>
        <w:rPr>
          <w:rFonts w:hint="default" w:ascii="Calibri" w:hAnsi="Calibri" w:eastAsia="宋体" w:cs="Calibri"/>
          <w:sz w:val="24"/>
          <w:szCs w:val="24"/>
          <w:vertAlign w:val="superscript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（ 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注：请在您选择后面打“√ ”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设计总监设计费总额若不足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万元计取；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首席设计师设计费总额若不足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万元计取；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主案设计师设计费总额若不足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万元计取；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2.6.4 费用支付进度：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1258"/>
        <w:gridCol w:w="2461"/>
        <w:gridCol w:w="1791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付费次序</w:t>
            </w:r>
          </w:p>
        </w:tc>
        <w:tc>
          <w:tcPr>
            <w:tcW w:w="2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付费名称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金额（元）</w:t>
            </w:r>
          </w:p>
        </w:tc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设计费</w:t>
            </w:r>
          </w:p>
        </w:tc>
        <w:tc>
          <w:tcPr>
            <w:tcW w:w="12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</w:t>
            </w:r>
          </w:p>
        </w:tc>
        <w:tc>
          <w:tcPr>
            <w:tcW w:w="2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测量费用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合同签订时，作为定金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%设计费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</w:t>
            </w:r>
          </w:p>
        </w:tc>
        <w:tc>
          <w:tcPr>
            <w:tcW w:w="2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%设计费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方案审查通过后时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第三次</w:t>
            </w:r>
          </w:p>
        </w:tc>
        <w:tc>
          <w:tcPr>
            <w:tcW w:w="2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%设计费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提交施工图成果时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5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如设计方案，经甲乙双方多次协商满意并甲方已签字确认后，由于非乙方的原因重新设计方案，第二次设计方案费用按合同价的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%收取设计费。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第3条 双方责任及违约责任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甲方责任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3.1.1 甲方按本合同第三条规定的内容，在规定的时间内向乙方提交资料及文件，并对其完整性、正确性及时负责，甲方不得要求乙方违反国家有关标准进行设计，具体资料清单由乙方提供。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甲方提交上述资料及文件超过规定期限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天以内，乙方按合同第四条规定交付设计文件时间顺延；超过规定期限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天以上时，乙方有权重新确定提交设计文件的时间。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3.1.2 甲方变更委托设计项目、规模、条件或因提交的资料错误，或所提交资料作较大修改（较大修改是指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），以致造成乙方设计需返工时，双方除需另行协商签订补充协议（或另订合同）、重新明确有关条款外，甲方应按乙方所耗工作量向乙方增付设计费。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在未签合同前甲方已同意，乙方为甲方所做的各项设计工作，应按收费标准，相应支付设计费。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3.1.3 甲方要求乙方比合同规定时间提前交付设计资料及文件时，如果乙方能够做到，甲方应根据乙方提前投入的工作量，向乙方支付赶工费。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3.1.4 甲方应保护乙方的投标书、设计方案、文件、资料图纸、数据、计算软件和专利技术。未经乙方同意，甲方对乙方交付的设计资料及文件不得擅自修改、复制或向第三人转让或用于本合同外的项目，如发生以上情况，甲方应负法律责任，乙方有权向甲方提出索赔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乙方责任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3.2.1 乙方应按国家技术规范、标准、规程及甲方提出的设计要求，进行工程设计，按合同规定的进度要求提交质量合格的设计资料，并对其负责。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3.2.2 乙方采用的主要技术标准是：与本工程有关的现行国家设计规范通则及标准。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3.2.3 乙方按本合同2.2条和2.4条规定的内容、进度及份数向甲方交付资料及文件。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3.2.4 乙方应保护甲方的知识产权，不得向第三人泄露、转让甲方提交的产品图纸等技术经济资料。如发生以上情况并给甲方造成经济损失，甲方有权向乙方索赔。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 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3.3.1 在合同履行期间，甲方要求终止或解除合同，乙方未开始设计工作的，不退还甲方已付的定金；已开始设计工作的，甲方应根据乙方已进行的实际工作量，不足一半时，按该阶段设计费的一半支付；超过一半时，按该阶段设计费的全部支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3.3.2 甲方应按本合同2.5条规定的金额和时间向乙方支付设计费，每逾期支付一天，应承担支付金额千分之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的逾期违约金。逾期超过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天以上时，乙方有权暂停履行下阶段工作，并书面通知甲方。甲方的上级或设计审批部门对设计文件不审批或本合同项目停缓建，甲方均按3.3.1条规定支付设计费。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3.3.3 乙方对设计资料及文件出现的遗漏或错误负责修改或补充。由于乙方人员错误造成工程质量事故损失，乙方除负责采取补救措施外，应免收直接受损失部分的设计费。损失严重的根据损失的程度和乙方责任大小向甲方支付赔偿金，赔偿金由双方商定为实际损失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3.3.4 由于乙方自身原因，延误了按本合同第2.4条规定的设计资料及设计文件的交付时间，每延误一天，应减收该项目应收设计费的千分之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 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甲方委托乙方承担本合同内容之外的工作服务，另行支付费用。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 不可抗力定义：指在本协议签署后发生的、本协议签署时不能预见的、其发生与后果是无法避免或克服的、妨碍任何一方全部或部分履约的所有事件。上述事件包括地震、台风、水灾、火灾、战争、国际或国内运输中断、流行病、罢工，以及根据中国法律或一般国际商业惯例认作不可抗力的其他事件。一方缺少资金非为不可抗力事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不可抗力的后果：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如果发生不可抗力事件，影响一方履行其在本协议项下的义务，则在不可抗力造成的延误期内中止履行，而不视为违约。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宣称发生不可抗力的一方应迅速书面通知其他各方，并在其后的十五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(15)</w:t>
      </w:r>
      <w:r>
        <w:rPr>
          <w:rFonts w:hint="eastAsia" w:ascii="宋体" w:hAnsi="宋体" w:eastAsia="宋体" w:cs="宋体"/>
          <w:sz w:val="24"/>
          <w:szCs w:val="24"/>
        </w:rPr>
        <w:t>天内提供证明不可抗力发生及其持续时间的足够证据。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如果发生不可抗力事件，各方应立即互相协商，以找到公平的解决办法，并且应尽一切合理努力将不可抗力的影响减少到最低限度。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金钱债务的迟延责任不得因不可抗力而免除。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Calibri" w:hAnsi="Calibri" w:eastAsia="宋体" w:cs="Calibri"/>
          <w:sz w:val="21"/>
          <w:szCs w:val="21"/>
          <w:lang w:val="en-US"/>
        </w:rPr>
        <w:t>5.迟延履行期间发生的不可抗力不具有免责效力。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4.3.1.本合同的签订、解释及其在履行过程中出现的、或与本合同有关的纠纷之解决，受中华人民共和国现行有效的法律约束。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4.3.2.因本合同引起的或与本合同有关的任何争议，由合同各方协商解决，也可由有关部门调解。协商或调解不成的，按下列第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 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份，甲乙双方各持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 本合同经双方签章并在甲方向乙方支付定金后生效，双方履行完合同规定义务后本合同即行终止。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4.6 本合同未尽事宜，双方可签订补充协议，有关协议及双方认可的来往电报、传真、会议纪要等，均为本合同组成部分，与本合同具有同等法律效力。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15B1"/>
    <w:rsid w:val="03704658"/>
    <w:rsid w:val="04EF18C1"/>
    <w:rsid w:val="064D167F"/>
    <w:rsid w:val="06CF280A"/>
    <w:rsid w:val="094A64C1"/>
    <w:rsid w:val="09D565D0"/>
    <w:rsid w:val="0D39733A"/>
    <w:rsid w:val="12D50F05"/>
    <w:rsid w:val="12EF6B05"/>
    <w:rsid w:val="1400689B"/>
    <w:rsid w:val="16BF2378"/>
    <w:rsid w:val="17D12642"/>
    <w:rsid w:val="1BC94B98"/>
    <w:rsid w:val="1D2245C8"/>
    <w:rsid w:val="1E0A7F7D"/>
    <w:rsid w:val="20E66F79"/>
    <w:rsid w:val="218909D9"/>
    <w:rsid w:val="21915238"/>
    <w:rsid w:val="21F06C3E"/>
    <w:rsid w:val="2271236B"/>
    <w:rsid w:val="22D455A4"/>
    <w:rsid w:val="25282AF5"/>
    <w:rsid w:val="27672114"/>
    <w:rsid w:val="28184741"/>
    <w:rsid w:val="292478C8"/>
    <w:rsid w:val="2AD4526B"/>
    <w:rsid w:val="2C657A5B"/>
    <w:rsid w:val="2DF42606"/>
    <w:rsid w:val="2ED57DB7"/>
    <w:rsid w:val="2F463932"/>
    <w:rsid w:val="2FB415CB"/>
    <w:rsid w:val="31743C70"/>
    <w:rsid w:val="36B54D72"/>
    <w:rsid w:val="375A74CA"/>
    <w:rsid w:val="379A2068"/>
    <w:rsid w:val="38791CF9"/>
    <w:rsid w:val="3A0B653E"/>
    <w:rsid w:val="3AA4058F"/>
    <w:rsid w:val="3C256D3B"/>
    <w:rsid w:val="3F542CF0"/>
    <w:rsid w:val="3FBC1DDF"/>
    <w:rsid w:val="3FCF013C"/>
    <w:rsid w:val="43045DB8"/>
    <w:rsid w:val="480767A3"/>
    <w:rsid w:val="481C6710"/>
    <w:rsid w:val="4C542E4B"/>
    <w:rsid w:val="4D2A5710"/>
    <w:rsid w:val="52624AF1"/>
    <w:rsid w:val="546E4797"/>
    <w:rsid w:val="5722197E"/>
    <w:rsid w:val="5A19240A"/>
    <w:rsid w:val="5B435C17"/>
    <w:rsid w:val="5D8A15B1"/>
    <w:rsid w:val="5DA8085C"/>
    <w:rsid w:val="5DDD41B6"/>
    <w:rsid w:val="5FFF61BD"/>
    <w:rsid w:val="619225D7"/>
    <w:rsid w:val="624F1196"/>
    <w:rsid w:val="64E9709A"/>
    <w:rsid w:val="658727DB"/>
    <w:rsid w:val="68531FA1"/>
    <w:rsid w:val="69962A49"/>
    <w:rsid w:val="69B65CCA"/>
    <w:rsid w:val="6A1A0E83"/>
    <w:rsid w:val="6A416E07"/>
    <w:rsid w:val="6CD61C0E"/>
    <w:rsid w:val="6F267822"/>
    <w:rsid w:val="70D308B3"/>
    <w:rsid w:val="73C33EAF"/>
    <w:rsid w:val="74FD0290"/>
    <w:rsid w:val="75965012"/>
    <w:rsid w:val="781E2486"/>
    <w:rsid w:val="783E1871"/>
    <w:rsid w:val="787A525D"/>
    <w:rsid w:val="79B62EAE"/>
    <w:rsid w:val="7EF5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2019-06-18T15:20:00Z</dcterms:created>
  <dc:creator>Administrator</dc:creator>
  <cp:lastModifiedBy>Administrator</cp:lastModifiedBy>
  <dcterms:modified xsi:type="dcterms:W3CDTF">2019-12-26T15:25:02Z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