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金融市场业务培训服务合同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本合同各方经平等自愿协商，根据《中华人民共和国民法典》及相关法规，就甲方委托乙方提供金融市场业务培训服务事宜，签订本合同以共同遵守。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培训服务前提</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甲方系合法设立的金融机构，基于独立的判断，已充分知晓金融市场的投资风险。甲方承诺依据本合同从事的相关业务符合法律法规，不会损害国家、社会公共利益和他人的合法权益。</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乙方系具备培训服务必要条件和专业能力的机构。乙方承诺严格区分本合同项下培训服务业务与乙方其他业务，不从事违反监管机构有关规定的行为。</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甲、乙双方共同遵守有关的法律、法规，不利用本合同的关系从事任何违法、违规行为。</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sz w:val="28"/>
        </w:rPr>
        <w:t>预期培训目标</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合规经营。确保金融市场业务符合监管及行业管理部门的要求。</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风险可控。确保金融市场业务的开展建立在有效防控风险的基础之上。</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专业运营。确保金融市场业务专业化水平不断提升，经营管理能力不断增强。</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sz w:val="28"/>
        </w:rPr>
        <w:t>培训服务内容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本合同约定的服务期间为</w:t>
      </w:r>
      <w:r>
        <w:rPr>
          <w:rFonts w:ascii="宋体" w:hAnsi="宋体" w:cs="宋体"/>
          <w:color w:val="000000"/>
          <w:sz w:val="24"/>
          <w:u w:val="single"/>
        </w:rPr>
        <w:t>自  年  月  日起（含当日）至  年  月  日（含当日）止</w:t>
      </w:r>
      <w:r>
        <w:rPr>
          <w:rFonts w:ascii="宋体" w:hAnsi="宋体" w:cs="宋体"/>
          <w:color w:val="000000"/>
          <w:sz w:val="24"/>
        </w:rPr>
        <w:t>，该服务期间内，乙方将提供下列培训服务：</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固定类培训服务内容</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周度市场行情分析及短期内债券、同业存单、票据资产操作策略建议（文字及电话会议培训方式）；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月度金融市场业务投资策略回顾与展望（文字及电话会议培训方式）；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季度金融市场运行分析报告（现场培训方式）；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年度金融市场业务投资规划报告（现场培训方式）；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制定并提供金融市场业务的具体操作策略建议供甲方自主参考。（文字及电话会议培训方式）。</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非固定类培训服务内容</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重大政策分析解读（文字及电话会议培训方式））；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主要经济金融数据解读（文字及电话会议培训方式）；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金融市场业务内控制度建设咨询，包括业务运行架构的梳理优化、岗位设置及职责的梳理优化、业务管理办法及操作规程的评估与完善、业务预授信及授信策略的建立等（文字及电话会议、现场培训方式）；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提供有价值的市场交易信息和交易资源，包括但不限于：推荐优质的交易对手方及交易标的、评估判断市场最优交易价格等（文字及电话会议培训方式）；</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提供现场学习的培训服务，邀请甲方金融市场从业人员来乙方现场学习，进行手把手、面对面的实操业务指导和培训（现场培训方式）。</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其他约定</w:t>
      </w:r>
    </w:p>
    <w:p>
      <w:pPr>
        <w:pStyle w:val="4"/>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同等交易条件下，甲方可优先选择乙方提供的业务交易信息。</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sz w:val="28"/>
        </w:rPr>
        <w:t>培训服务费用</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费用标准：每个付费周期</w:t>
      </w:r>
      <w:r>
        <w:rPr>
          <w:rFonts w:ascii="宋体" w:hAnsi="宋体" w:cs="宋体"/>
          <w:color w:val="000000"/>
          <w:sz w:val="24"/>
          <w:u w:val="single"/>
        </w:rPr>
        <w:t>人民币（大写）  元（￥  元）</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双方确认，甲方有权根据乙方提供的培训服务质量，与乙方协商对培训服务费标准进行调整。</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付费周期：</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每三个月为一个付费周期。</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不满一个付费周期的，如乙方当周期提供了相应培训服务，则按照实际提供培训服务的时间计算，即不满一个月按一个月计算。</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不满一个付费周期，且乙方当周期内又未提供培训服务，则当周期不收取培训服务费。</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结算方式：甲方于每个付费周期结束且乙方向甲方提供符合财务要求的足额发票后10个工作日内，将该期固定培训服务费足额转账至乙方指定账户。</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sz w:val="28"/>
        </w:rPr>
        <w:t>知识产权与相关权利</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乙方对其所提供的服务内容依法享有知识产权，若甲方将该等服务内容向乙方认可之外的任何第三方泄露，乙方有权要求甲方停止侵害，并依法要求甲方赔偿乙方因此遭受的损失。</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按照本合同约定支付培训服务费。</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具备签订和履行本合同的能力与资质。</w:t>
      </w:r>
    </w:p>
    <w:p>
      <w:pPr>
        <w:pStyle w:val="4"/>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始终本着谨慎勤勉、诚实信用的原则，配备足够的专业人员及制定相应的培训方案，按照本合同约定提供培训服务。</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sz w:val="28"/>
        </w:rPr>
        <w:t>保密</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向乙方支付违约金，同时仍应履行付款义务。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逾期超过15日的，乙方有权解除本合同，要求甲方退还乙方交付的全部货物、设备与材料，并要求甲方按照</w:t>
      </w:r>
      <w:r>
        <w:rPr>
          <w:rFonts w:ascii="宋体" w:hAnsi="宋体" w:cs="宋体"/>
          <w:color w:val="000000"/>
          <w:sz w:val="24"/>
          <w:u w:val="single"/>
        </w:rPr>
        <w:t>合同价款的20%</w:t>
      </w:r>
      <w:r>
        <w:rPr>
          <w:rFonts w:ascii="宋体" w:hAnsi="宋体" w:cs="宋体"/>
          <w:color w:val="000000"/>
          <w:sz w:val="24"/>
        </w:rPr>
        <w:t>向乙方支付违约金。违约金不足以赔偿乙方损失的，甲方还应赔偿乙方全部损失。</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乙方逾期履行合同的，每逾期一天，应按合同价款的</w:t>
      </w:r>
      <w:r>
        <w:rPr>
          <w:rFonts w:ascii="宋体" w:hAnsi="宋体" w:cs="宋体"/>
          <w:color w:val="000000"/>
          <w:sz w:val="24"/>
          <w:u w:val="single"/>
        </w:rPr>
        <w:t>1%（百分之一）</w:t>
      </w:r>
      <w:r>
        <w:rPr>
          <w:rFonts w:ascii="宋体" w:hAnsi="宋体" w:cs="宋体"/>
          <w:color w:val="000000"/>
          <w:sz w:val="24"/>
        </w:rPr>
        <w:t>向甲方支付违约金，甲方有权从合同价款中扣除。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逾期超过15日的，甲方有权解除本合同，要求乙方退还甲方支付的全部货款，并要求乙方按照</w:t>
      </w:r>
      <w:r>
        <w:rPr>
          <w:rFonts w:ascii="宋体" w:hAnsi="宋体" w:cs="宋体"/>
          <w:color w:val="000000"/>
          <w:sz w:val="24"/>
          <w:u w:val="single"/>
        </w:rPr>
        <w:t>合同价款的20%</w:t>
      </w:r>
      <w:r>
        <w:rPr>
          <w:rFonts w:ascii="宋体" w:hAnsi="宋体" w:cs="宋体"/>
          <w:color w:val="000000"/>
          <w:sz w:val="24"/>
        </w:rPr>
        <w:t>向甲方支付违约金。违约金不足以赔偿甲方损失的，乙方还应赔偿甲方全部损失。</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sz w:val="28"/>
        </w:rPr>
        <w:t>合同变更与终止</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生效后，甲乙双方不得擅自修改本合同中任何条款。如需变更本合同，应经甲乙双方协商一致并达成书面意见。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发生以下情形之一者,本合同将终止。发生以下可能导致本合同终止的情形之一的，本合同任何一方应至少提前30个工作日以书面形式通知对方终止本合同，本合同即可终止，且提出方不构成违约：</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本合同终止后，不影响本合同中违约责任条款和争议解决条款的效力；本合同中有关保密义务的条款对双方仍继续有效。</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甲方依法解散，被依法撤销、破产，或发生不履行本合同项下义务或责任的情形时。</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乙方依法解散，被依法撤销、破产，或发生不履行本合同项下义务或责任的情形时。</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双方当事人中任何一方有充分理由认为对方不能履行本合同项下义务或责任。</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甲方认为不再需要该项服务时。</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遇银保监部门或监管机构发生重大政策调整的情景，导致本合同项下的服务内容无法延续。</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其它导致本合同终止之事项。</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本合同终止后，不影响本合同中违约责任条款和争议解决条款的效力；本合同中有关保密义务的条款对双方仍继续有效。</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1"/>
          <w:rFonts w:ascii="宋体" w:hAnsi="宋体" w:cs="宋体"/>
          <w:color w:val="000000"/>
          <w:sz w:val="24"/>
        </w:rPr>
        <w:t>中对金额或数量使用大小写时，如大小写不一致，应以大写为准。</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3"/>
        <w:numPr>
          <w:ilvl w:val="0"/>
          <w:numId w:val="13"/>
        </w:numPr>
        <w:spacing w:before="0" w:beforeAutospacing="0" w:after="0" w:afterAutospacing="0" w:line="360" w:lineRule="auto"/>
        <w:rPr>
          <w:rFonts w:ascii="宋体" w:hAnsi="宋体" w:cs="宋体"/>
          <w:color w:val="000000"/>
        </w:rPr>
      </w:pPr>
      <w:r>
        <w:rPr>
          <w:rFonts w:ascii="宋体" w:hAnsi="宋体" w:cs="宋体"/>
          <w:sz w:val="28"/>
        </w:rPr>
        <w:t>附则</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DFC6F65"/>
    <w:multiLevelType w:val="multilevel"/>
    <w:tmpl w:val="9DFC6F65"/>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F81B9F9"/>
    <w:multiLevelType w:val="multilevel"/>
    <w:tmpl w:val="9F81B9F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F50FE6B"/>
    <w:multiLevelType w:val="multilevel"/>
    <w:tmpl w:val="BF50FE6B"/>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90D1B09"/>
    <w:multiLevelType w:val="multilevel"/>
    <w:tmpl w:val="C90D1B09"/>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3A33954"/>
    <w:multiLevelType w:val="multilevel"/>
    <w:tmpl w:val="F3A33954"/>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F4A942FE"/>
    <w:multiLevelType w:val="multilevel"/>
    <w:tmpl w:val="F4A942FE"/>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3C240C0"/>
    <w:multiLevelType w:val="multilevel"/>
    <w:tmpl w:val="03C240C0"/>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1B3B1B1"/>
    <w:multiLevelType w:val="multilevel"/>
    <w:tmpl w:val="21B3B1B1"/>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B3F3F89"/>
    <w:multiLevelType w:val="multilevel"/>
    <w:tmpl w:val="2B3F3F89"/>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51C4BC33"/>
    <w:multiLevelType w:val="multilevel"/>
    <w:tmpl w:val="51C4BC33"/>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54701CA1"/>
    <w:multiLevelType w:val="multilevel"/>
    <w:tmpl w:val="54701CA1"/>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FCE4367"/>
    <w:multiLevelType w:val="multilevel"/>
    <w:tmpl w:val="5FCE4367"/>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2"/>
  </w:num>
  <w:num w:numId="2">
    <w:abstractNumId w:val="3"/>
  </w:num>
  <w:num w:numId="3">
    <w:abstractNumId w:val="4"/>
  </w:num>
  <w:num w:numId="4">
    <w:abstractNumId w:val="6"/>
  </w:num>
  <w:num w:numId="5">
    <w:abstractNumId w:val="12"/>
  </w:num>
  <w:num w:numId="6">
    <w:abstractNumId w:val="5"/>
  </w:num>
  <w:num w:numId="7">
    <w:abstractNumId w:val="11"/>
  </w:num>
  <w:num w:numId="8">
    <w:abstractNumId w:val="8"/>
  </w:num>
  <w:num w:numId="9">
    <w:abstractNumId w:val="0"/>
  </w:num>
  <w:num w:numId="10">
    <w:abstractNumId w:val="7"/>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7E466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宋体" w:hAnsi="宋体" w:cs="宋体"/>
    </w:rPr>
  </w:style>
  <w:style w:type="paragraph" w:customStyle="1" w:styleId="10">
    <w:name w:val="font-yahei *"/>
    <w:basedOn w:val="1"/>
    <w:uiPriority w:val="0"/>
    <w:pPr>
      <w:spacing w:before="100" w:beforeAutospacing="1" w:after="100" w:afterAutospacing="1"/>
    </w:pPr>
    <w:rPr>
      <w:rFonts w:ascii="Msyh" w:hAnsi="Msyh" w:cs="Msyh"/>
    </w:rPr>
  </w:style>
  <w:style w:type="character" w:customStyle="1" w:styleId="11">
    <w:name w:val="ql-author-566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2022-07-28T09:05:48Z</dcterms:created>
  <dc:creator>法天使</dc:creator>
  <cp:keywords>持续服务;常见法律关系;咨询、顾问、技术服务;投融资咨询;承揽/委托/劳务/服务</cp:keywords>
  <cp:lastModifiedBy>CDLX</cp:lastModifiedBy>
  <dcterms:modified xsi:type="dcterms:W3CDTF">2022-07-28T09:06:04Z</dcterms:modified>
  <dc:title>金融市场业务培训服务合同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D5D4D077BF40492B83032E113966330F</vt:lpwstr>
  </property>
</Properties>
</file>