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生日蛋糕订购合同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本着平等互惠、互相支持、共同发展的原则，</w:t>
      </w:r>
      <w:r>
        <w:rPr>
          <w:rFonts w:hint="eastAsia" w:ascii="宋体" w:hAnsi="宋体" w:eastAsia="宋体" w:cs="宋体"/>
          <w:sz w:val="24"/>
          <w:szCs w:val="24"/>
          <w:u w:val="single"/>
        </w:rPr>
        <w:t>        </w:t>
      </w:r>
      <w:r>
        <w:rPr>
          <w:rFonts w:hint="eastAsia" w:ascii="宋体" w:hAnsi="宋体" w:eastAsia="宋体" w:cs="宋体"/>
          <w:sz w:val="24"/>
          <w:szCs w:val="24"/>
        </w:rPr>
        <w:t>公司（以下简称甲方）与</w:t>
      </w:r>
      <w:r>
        <w:rPr>
          <w:rFonts w:hint="eastAsia" w:ascii="宋体" w:hAnsi="宋体" w:eastAsia="宋体" w:cs="宋体"/>
          <w:sz w:val="24"/>
          <w:szCs w:val="24"/>
          <w:u w:val="single"/>
        </w:rPr>
        <w:t>        </w:t>
      </w:r>
      <w:r>
        <w:rPr>
          <w:rFonts w:hint="eastAsia" w:ascii="宋体" w:hAnsi="宋体" w:eastAsia="宋体" w:cs="宋体"/>
          <w:sz w:val="24"/>
          <w:szCs w:val="24"/>
        </w:rPr>
        <w:t>（以下简称乙方）经友好协商，就甲方向乙方订购全辖员工生日蛋糕一事，共同签署本合同，以资共同遵守。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自本合同生效之日起，乙方根据甲方提供的员工生日明细按时与过生日的员工联系派专人送往员工指定地点，蛋糕数量为过生日的员工每人一个，共计</w:t>
      </w:r>
      <w:r>
        <w:rPr>
          <w:rFonts w:hint="eastAsia" w:ascii="宋体" w:hAnsi="宋体" w:eastAsia="宋体" w:cs="宋体"/>
          <w:sz w:val="24"/>
          <w:szCs w:val="24"/>
          <w:u w:val="single"/>
        </w:rPr>
        <w:t>    </w:t>
      </w:r>
      <w:r>
        <w:rPr>
          <w:rFonts w:hint="eastAsia" w:ascii="宋体" w:hAnsi="宋体" w:eastAsia="宋体" w:cs="宋体"/>
          <w:sz w:val="24"/>
          <w:szCs w:val="24"/>
        </w:rPr>
        <w:t>，蛋糕规格为</w:t>
      </w:r>
      <w:r>
        <w:rPr>
          <w:rFonts w:hint="eastAsia" w:ascii="宋体" w:hAnsi="宋体" w:eastAsia="宋体" w:cs="宋体"/>
          <w:sz w:val="24"/>
          <w:szCs w:val="24"/>
          <w:u w:val="single"/>
        </w:rPr>
        <w:t>        </w:t>
      </w:r>
      <w:r>
        <w:rPr>
          <w:rFonts w:hint="eastAsia" w:ascii="宋体" w:hAnsi="宋体" w:eastAsia="宋体" w:cs="宋体"/>
          <w:sz w:val="24"/>
          <w:szCs w:val="24"/>
        </w:rPr>
        <w:t>寸水果蛋糕，单价为人民币（大写）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元），由过生日的员工签收。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结算方式为按季转账结算，每季以员工签收单为依据，乙方出具正式发票，甲方在季末或下季初将本季度蛋糕款项转入乙方提供的账户。期间任何与本合同相关的正式信函以及结算，均使用并且只能使用本合同中甲、乙双方指定的地址和银行开户帐号。</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673"/>
        <w:gridCol w:w="793"/>
        <w:gridCol w:w="3021"/>
        <w:gridCol w:w="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5466"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甲方</w:t>
            </w:r>
          </w:p>
        </w:tc>
        <w:tc>
          <w:tcPr>
            <w:tcW w:w="3534"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乙</w:t>
            </w:r>
            <w:r>
              <w:rPr>
                <w:rFonts w:hint="eastAsia" w:ascii="宋体" w:hAnsi="宋体" w:eastAsia="宋体" w:cs="宋体"/>
                <w:sz w:val="24"/>
                <w:szCs w:val="24"/>
              </w:rPr>
              <w:t xml:space="preserve"> </w:t>
            </w:r>
            <w:r>
              <w:rPr>
                <w:rStyle w:val="8"/>
                <w:rFonts w:hint="eastAsia" w:ascii="宋体" w:hAnsi="宋体" w:eastAsia="宋体" w:cs="宋体"/>
                <w:b/>
                <w:sz w:val="24"/>
                <w:szCs w:val="24"/>
              </w:rPr>
              <w:t>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6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名     称</w:t>
            </w:r>
          </w:p>
        </w:tc>
        <w:tc>
          <w:tcPr>
            <w:tcW w:w="7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30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名     称</w:t>
            </w:r>
          </w:p>
        </w:tc>
        <w:tc>
          <w:tcPr>
            <w:tcW w:w="5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6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w:t>
            </w:r>
          </w:p>
        </w:tc>
        <w:tc>
          <w:tcPr>
            <w:tcW w:w="79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w:t>
            </w:r>
          </w:p>
        </w:tc>
        <w:tc>
          <w:tcPr>
            <w:tcW w:w="5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6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    编</w:t>
            </w:r>
          </w:p>
        </w:tc>
        <w:tc>
          <w:tcPr>
            <w:tcW w:w="79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    编</w:t>
            </w:r>
          </w:p>
        </w:tc>
        <w:tc>
          <w:tcPr>
            <w:tcW w:w="5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6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    话</w:t>
            </w:r>
          </w:p>
        </w:tc>
        <w:tc>
          <w:tcPr>
            <w:tcW w:w="79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    话</w:t>
            </w:r>
          </w:p>
        </w:tc>
        <w:tc>
          <w:tcPr>
            <w:tcW w:w="5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6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汇款人名称</w:t>
            </w:r>
          </w:p>
        </w:tc>
        <w:tc>
          <w:tcPr>
            <w:tcW w:w="7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30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收款人名称</w:t>
            </w:r>
          </w:p>
        </w:tc>
        <w:tc>
          <w:tcPr>
            <w:tcW w:w="5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6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tc>
        <w:tc>
          <w:tcPr>
            <w:tcW w:w="79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tc>
        <w:tc>
          <w:tcPr>
            <w:tcW w:w="5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6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w:t>
            </w:r>
          </w:p>
        </w:tc>
        <w:tc>
          <w:tcPr>
            <w:tcW w:w="79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2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w:t>
            </w:r>
          </w:p>
        </w:tc>
        <w:tc>
          <w:tcPr>
            <w:tcW w:w="5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乙方提供的蛋糕的质量、规格及送达的时间须符合合同约定，如果员工收到的蛋糕与预定款式不同以及不按员工生日日期准时送达的，或者员工收到的蛋糕已过质保期的，甲方在结清款项后有权解除该合同并向乙方主张损害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甲方认为乙方有任何违反或可能违反本合同的行为，甲方有权提出书面意见要求乙方限期整改。乙方应在收到甲方的书面意见后5个工作日内，以书面形式将其整改的结果或整改措施回复甲方。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第七条 乙方在派送蛋糕过程中发生任何事故均由乙方负责。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第八条 因执行本合同发生的一切争议，双方应首先友好协商解决。经协商不能解决，可向甲方所在地人民法院提起诉讼。在诉讼期间，除必须在诉讼过程中进行解决的问题外，合同其余部分应继续履行。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第九条 甲、乙双方有一方有正当理由要求变更本合同，须提前一个月以书面形式通知对方并协商解决，双方应签署变更合同。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第十条 本合同期限为</w:t>
      </w:r>
      <w:r>
        <w:rPr>
          <w:rFonts w:hint="eastAsia" w:ascii="宋体" w:hAnsi="宋体" w:eastAsia="宋体" w:cs="宋体"/>
          <w:sz w:val="24"/>
          <w:szCs w:val="24"/>
          <w:u w:val="single"/>
        </w:rPr>
        <w:t>    </w:t>
      </w:r>
      <w:r>
        <w:rPr>
          <w:rFonts w:hint="eastAsia" w:ascii="宋体" w:hAnsi="宋体" w:eastAsia="宋体" w:cs="宋体"/>
          <w:sz w:val="24"/>
          <w:szCs w:val="24"/>
        </w:rPr>
        <w:t>年，自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日止。自甲乙双方签字后生效。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第十一条 本合同一式</w:t>
      </w:r>
      <w:r>
        <w:rPr>
          <w:rFonts w:hint="eastAsia" w:ascii="宋体" w:hAnsi="宋体" w:eastAsia="宋体" w:cs="宋体"/>
          <w:sz w:val="24"/>
          <w:szCs w:val="24"/>
          <w:u w:val="single"/>
        </w:rPr>
        <w:t>    </w:t>
      </w:r>
      <w:r>
        <w:rPr>
          <w:rFonts w:hint="eastAsia" w:ascii="宋体" w:hAnsi="宋体" w:eastAsia="宋体" w:cs="宋体"/>
          <w:sz w:val="24"/>
          <w:szCs w:val="24"/>
        </w:rPr>
        <w:t>份，甲乙双方各执</w:t>
      </w:r>
      <w:r>
        <w:rPr>
          <w:rFonts w:hint="eastAsia" w:ascii="宋体" w:hAnsi="宋体" w:eastAsia="宋体" w:cs="宋体"/>
          <w:sz w:val="24"/>
          <w:szCs w:val="24"/>
          <w:u w:val="single"/>
        </w:rPr>
        <w:t>    </w:t>
      </w:r>
      <w:r>
        <w:rPr>
          <w:rFonts w:hint="eastAsia" w:ascii="宋体" w:hAnsi="宋体" w:eastAsia="宋体" w:cs="宋体"/>
          <w:sz w:val="24"/>
          <w:szCs w:val="24"/>
        </w:rPr>
        <w:t>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3703007"/>
    <w:rsid w:val="043636E7"/>
    <w:rsid w:val="054B47ED"/>
    <w:rsid w:val="05681BFA"/>
    <w:rsid w:val="0611258E"/>
    <w:rsid w:val="06AA726A"/>
    <w:rsid w:val="06C0621B"/>
    <w:rsid w:val="06D94D10"/>
    <w:rsid w:val="09391D6D"/>
    <w:rsid w:val="0A8B487D"/>
    <w:rsid w:val="0C0B6B87"/>
    <w:rsid w:val="0C15460C"/>
    <w:rsid w:val="0C2003D3"/>
    <w:rsid w:val="0D602A51"/>
    <w:rsid w:val="0D6965DE"/>
    <w:rsid w:val="0EA83F48"/>
    <w:rsid w:val="0EC43EED"/>
    <w:rsid w:val="0FB43B66"/>
    <w:rsid w:val="106D49B3"/>
    <w:rsid w:val="10A24CE5"/>
    <w:rsid w:val="1157695B"/>
    <w:rsid w:val="11937B39"/>
    <w:rsid w:val="12173857"/>
    <w:rsid w:val="128C4C7F"/>
    <w:rsid w:val="12D003FE"/>
    <w:rsid w:val="13373EC3"/>
    <w:rsid w:val="136561C9"/>
    <w:rsid w:val="13855D13"/>
    <w:rsid w:val="14D5348D"/>
    <w:rsid w:val="16CC1504"/>
    <w:rsid w:val="16E3232E"/>
    <w:rsid w:val="16EA5DFC"/>
    <w:rsid w:val="16FB02DC"/>
    <w:rsid w:val="178E4FCB"/>
    <w:rsid w:val="17FA1CE1"/>
    <w:rsid w:val="18365AC2"/>
    <w:rsid w:val="185965E4"/>
    <w:rsid w:val="18632D74"/>
    <w:rsid w:val="1A2D4CF5"/>
    <w:rsid w:val="1A5B7282"/>
    <w:rsid w:val="1A775624"/>
    <w:rsid w:val="1A9C60B6"/>
    <w:rsid w:val="1B067642"/>
    <w:rsid w:val="1B7F71AD"/>
    <w:rsid w:val="1B945815"/>
    <w:rsid w:val="1BD224E1"/>
    <w:rsid w:val="1CD6764D"/>
    <w:rsid w:val="1D1716AF"/>
    <w:rsid w:val="1D996B29"/>
    <w:rsid w:val="20460F03"/>
    <w:rsid w:val="20D878D2"/>
    <w:rsid w:val="228D0680"/>
    <w:rsid w:val="241F48FC"/>
    <w:rsid w:val="24CC775C"/>
    <w:rsid w:val="250E1085"/>
    <w:rsid w:val="25C77597"/>
    <w:rsid w:val="263819DA"/>
    <w:rsid w:val="270F702A"/>
    <w:rsid w:val="28EB185D"/>
    <w:rsid w:val="29EB1520"/>
    <w:rsid w:val="2B223ADD"/>
    <w:rsid w:val="2C055EAD"/>
    <w:rsid w:val="2C5B61DF"/>
    <w:rsid w:val="2CC02A93"/>
    <w:rsid w:val="2D172661"/>
    <w:rsid w:val="2E220C93"/>
    <w:rsid w:val="2E821941"/>
    <w:rsid w:val="2E833120"/>
    <w:rsid w:val="2E8E3AD8"/>
    <w:rsid w:val="2EAB01EE"/>
    <w:rsid w:val="2EF370C0"/>
    <w:rsid w:val="2FA92D9C"/>
    <w:rsid w:val="2FDA6511"/>
    <w:rsid w:val="30060D08"/>
    <w:rsid w:val="303D2AEE"/>
    <w:rsid w:val="30C350AA"/>
    <w:rsid w:val="30CF2D55"/>
    <w:rsid w:val="31ED728F"/>
    <w:rsid w:val="3344291E"/>
    <w:rsid w:val="33545FE3"/>
    <w:rsid w:val="357356EE"/>
    <w:rsid w:val="35896136"/>
    <w:rsid w:val="37CA2E12"/>
    <w:rsid w:val="38A947D2"/>
    <w:rsid w:val="3A572AB8"/>
    <w:rsid w:val="3B2009C3"/>
    <w:rsid w:val="3B26758A"/>
    <w:rsid w:val="3B53250E"/>
    <w:rsid w:val="3B926CE3"/>
    <w:rsid w:val="3CD827AF"/>
    <w:rsid w:val="3CF64770"/>
    <w:rsid w:val="3D5D5E1C"/>
    <w:rsid w:val="3E744125"/>
    <w:rsid w:val="3EAD6EC3"/>
    <w:rsid w:val="3EFB3BBB"/>
    <w:rsid w:val="405F5973"/>
    <w:rsid w:val="41D15F60"/>
    <w:rsid w:val="426016E2"/>
    <w:rsid w:val="42EF6355"/>
    <w:rsid w:val="43B471E8"/>
    <w:rsid w:val="44603B10"/>
    <w:rsid w:val="482A7FA0"/>
    <w:rsid w:val="49101346"/>
    <w:rsid w:val="493B7801"/>
    <w:rsid w:val="495B08FA"/>
    <w:rsid w:val="4AB61357"/>
    <w:rsid w:val="4B6D7AAE"/>
    <w:rsid w:val="4C6D0EE2"/>
    <w:rsid w:val="4C960277"/>
    <w:rsid w:val="4E3666C4"/>
    <w:rsid w:val="4E774AA0"/>
    <w:rsid w:val="4E9B0BB8"/>
    <w:rsid w:val="4ECB504D"/>
    <w:rsid w:val="4F5C6BF4"/>
    <w:rsid w:val="503D4AA8"/>
    <w:rsid w:val="507F4E96"/>
    <w:rsid w:val="5099338A"/>
    <w:rsid w:val="528D0C0C"/>
    <w:rsid w:val="52EF391F"/>
    <w:rsid w:val="54057D8A"/>
    <w:rsid w:val="549324CB"/>
    <w:rsid w:val="54E8288C"/>
    <w:rsid w:val="55CD1B11"/>
    <w:rsid w:val="57685E32"/>
    <w:rsid w:val="57FE2928"/>
    <w:rsid w:val="58520059"/>
    <w:rsid w:val="586B5E01"/>
    <w:rsid w:val="58B00AC9"/>
    <w:rsid w:val="5BAB6918"/>
    <w:rsid w:val="5C80128B"/>
    <w:rsid w:val="5CDC6E1D"/>
    <w:rsid w:val="5E2E2DE6"/>
    <w:rsid w:val="5E514E69"/>
    <w:rsid w:val="5EB6607F"/>
    <w:rsid w:val="5F125964"/>
    <w:rsid w:val="5F2D73BC"/>
    <w:rsid w:val="607E12C1"/>
    <w:rsid w:val="60C94938"/>
    <w:rsid w:val="60DC241E"/>
    <w:rsid w:val="61A362F5"/>
    <w:rsid w:val="622E4F5F"/>
    <w:rsid w:val="62740218"/>
    <w:rsid w:val="631D0B67"/>
    <w:rsid w:val="63731780"/>
    <w:rsid w:val="642C64A8"/>
    <w:rsid w:val="64A73EDA"/>
    <w:rsid w:val="6592072C"/>
    <w:rsid w:val="661316C0"/>
    <w:rsid w:val="66626D09"/>
    <w:rsid w:val="668C1B51"/>
    <w:rsid w:val="66FD639C"/>
    <w:rsid w:val="67013951"/>
    <w:rsid w:val="67266490"/>
    <w:rsid w:val="674B373E"/>
    <w:rsid w:val="675F1434"/>
    <w:rsid w:val="676B5BBA"/>
    <w:rsid w:val="69E0693D"/>
    <w:rsid w:val="6B701DBE"/>
    <w:rsid w:val="6BEF6B2D"/>
    <w:rsid w:val="6BFE1841"/>
    <w:rsid w:val="6C733900"/>
    <w:rsid w:val="6C7535D2"/>
    <w:rsid w:val="6CA00197"/>
    <w:rsid w:val="6DA42275"/>
    <w:rsid w:val="6DC34972"/>
    <w:rsid w:val="6ED73EAC"/>
    <w:rsid w:val="719F23FB"/>
    <w:rsid w:val="71CB6E1D"/>
    <w:rsid w:val="7219300A"/>
    <w:rsid w:val="725D19B0"/>
    <w:rsid w:val="72E64003"/>
    <w:rsid w:val="733A1569"/>
    <w:rsid w:val="73BD3548"/>
    <w:rsid w:val="77984E11"/>
    <w:rsid w:val="7818293C"/>
    <w:rsid w:val="79241A3C"/>
    <w:rsid w:val="7A731FC3"/>
    <w:rsid w:val="7A753329"/>
    <w:rsid w:val="7ADF7CF3"/>
    <w:rsid w:val="7BA6538D"/>
    <w:rsid w:val="7D9C48A5"/>
    <w:rsid w:val="7D9F2E4D"/>
    <w:rsid w:val="7DC00208"/>
    <w:rsid w:val="7DDD3139"/>
    <w:rsid w:val="7E322AFE"/>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2019-06-28T09:14:23Z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