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rPr>
          <w:rFonts w:ascii="宋体" w:hAnsi="宋体" w:cs="宋体"/>
          <w:sz w:val="36"/>
        </w:rPr>
      </w:pPr>
      <w:commentRangeStart w:id="0"/>
      <w:r>
        <w:rPr>
          <w:rFonts w:ascii="宋体" w:hAnsi="宋体" w:cs="宋体"/>
          <w:sz w:val="36"/>
        </w:rPr>
        <w:t>设备采购合同</w:t>
      </w:r>
      <w:commentRangeEnd w:id="0"/>
      <w:r>
        <w:commentReference w:id="0"/>
      </w:r>
      <w:r>
        <w:commentReference w:id="1"/>
      </w:r>
    </w:p>
    <w:p>
      <w:pPr>
        <w:pStyle w:val="8"/>
        <w:spacing w:before="0" w:beforeAutospacing="0" w:after="0" w:afterAutospacing="0"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合同编号：</w:t>
      </w:r>
    </w:p>
    <w:p>
      <w:pPr>
        <w:pStyle w:val="8"/>
        <w:spacing w:before="0" w:beforeAutospacing="0" w:after="0" w:afterAutospacing="0"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甲方（买方）： </w:t>
      </w:r>
    </w:p>
    <w:p>
      <w:pPr>
        <w:pStyle w:val="8"/>
        <w:spacing w:before="0" w:beforeAutospacing="0" w:after="0" w:afterAutospacing="0"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统一社会信用代码：</w:t>
      </w:r>
      <w:r>
        <w:rPr>
          <w:rFonts w:hint="eastAsia" w:ascii="宋体" w:hAnsi="宋体" w:eastAsia="宋体" w:cs="宋体"/>
          <w:b w:val="0"/>
          <w:bCs/>
          <w:color w:val="000000"/>
          <w:sz w:val="24"/>
          <w:szCs w:val="24"/>
        </w:rPr>
        <w:t>       </w:t>
      </w: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b w:val="0"/>
          <w:bCs/>
          <w:color w:val="000000"/>
          <w:sz w:val="24"/>
          <w:szCs w:val="24"/>
        </w:rPr>
        <w:t> </w:t>
      </w:r>
    </w:p>
    <w:p>
      <w:pPr>
        <w:pStyle w:val="8"/>
        <w:spacing w:before="0" w:beforeAutospacing="0" w:after="0" w:afterAutospacing="0"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法定代表人：</w:t>
      </w:r>
      <w:r>
        <w:rPr>
          <w:rFonts w:hint="eastAsia" w:ascii="宋体" w:hAnsi="宋体" w:eastAsia="宋体" w:cs="宋体"/>
          <w:b w:val="0"/>
          <w:bCs/>
          <w:color w:val="000000"/>
          <w:sz w:val="24"/>
          <w:szCs w:val="24"/>
        </w:rPr>
        <w:t>       </w:t>
      </w: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b w:val="0"/>
          <w:bCs/>
          <w:color w:val="000000"/>
          <w:sz w:val="24"/>
          <w:szCs w:val="24"/>
        </w:rPr>
        <w:t> </w:t>
      </w:r>
    </w:p>
    <w:p>
      <w:pPr>
        <w:pStyle w:val="8"/>
        <w:spacing w:before="0" w:beforeAutospacing="0" w:after="0" w:afterAutospacing="0"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地址：</w:t>
      </w:r>
      <w:r>
        <w:rPr>
          <w:rFonts w:hint="eastAsia" w:ascii="宋体" w:hAnsi="宋体" w:eastAsia="宋体" w:cs="宋体"/>
          <w:b w:val="0"/>
          <w:bCs/>
          <w:color w:val="000000"/>
          <w:sz w:val="24"/>
          <w:szCs w:val="24"/>
        </w:rPr>
        <w:t>       </w:t>
      </w: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b w:val="0"/>
          <w:bCs/>
          <w:color w:val="000000"/>
          <w:sz w:val="24"/>
          <w:szCs w:val="24"/>
        </w:rPr>
        <w:t> </w:t>
      </w:r>
    </w:p>
    <w:p>
      <w:pPr>
        <w:pStyle w:val="8"/>
        <w:spacing w:before="0" w:beforeAutospacing="0" w:after="0" w:afterAutospacing="0" w:line="360" w:lineRule="auto"/>
        <w:rPr>
          <w:rFonts w:hint="eastAsia" w:ascii="宋体" w:hAnsi="宋体" w:eastAsia="宋体" w:cs="宋体"/>
          <w:b/>
          <w:color w:val="000000"/>
          <w:sz w:val="24"/>
          <w:szCs w:val="24"/>
          <w:lang w:val="en-US" w:eastAsia="zh-CN"/>
        </w:rPr>
      </w:pPr>
      <w:r>
        <w:rPr>
          <w:rFonts w:hint="eastAsia" w:ascii="宋体" w:hAnsi="宋体" w:eastAsia="宋体" w:cs="宋体"/>
          <w:b w:val="0"/>
          <w:bCs/>
          <w:color w:val="000000"/>
          <w:sz w:val="24"/>
          <w:szCs w:val="24"/>
          <w:lang w:val="en-US" w:eastAsia="zh-CN"/>
        </w:rPr>
        <w:t>联系方式：</w:t>
      </w:r>
      <w:r>
        <w:rPr>
          <w:rFonts w:hint="eastAsia" w:ascii="宋体" w:hAnsi="宋体" w:eastAsia="宋体" w:cs="宋体"/>
          <w:b/>
          <w:color w:val="000000"/>
          <w:sz w:val="24"/>
          <w:szCs w:val="24"/>
        </w:rPr>
        <w:t>       </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 </w:t>
      </w:r>
    </w:p>
    <w:p>
      <w:pPr>
        <w:pStyle w:val="8"/>
        <w:spacing w:before="0" w:beforeAutospacing="0" w:after="0" w:afterAutospacing="0" w:line="360" w:lineRule="auto"/>
        <w:rPr>
          <w:rFonts w:hint="eastAsia" w:ascii="宋体" w:hAnsi="宋体" w:eastAsia="宋体" w:cs="宋体"/>
          <w:color w:val="000000"/>
          <w:sz w:val="24"/>
          <w:szCs w:val="24"/>
        </w:rPr>
      </w:pPr>
      <w:r>
        <w:rPr>
          <w:rFonts w:hint="eastAsia" w:ascii="宋体" w:hAnsi="宋体" w:eastAsia="宋体" w:cs="宋体"/>
          <w:b/>
          <w:color w:val="000000"/>
          <w:sz w:val="24"/>
          <w:szCs w:val="24"/>
        </w:rPr>
        <w:t>乙方（卖方）：</w:t>
      </w:r>
      <w:r>
        <w:rPr>
          <w:rFonts w:hint="eastAsia" w:ascii="宋体" w:hAnsi="宋体" w:eastAsia="宋体" w:cs="宋体"/>
          <w:color w:val="000000"/>
          <w:sz w:val="24"/>
          <w:szCs w:val="24"/>
        </w:rPr>
        <w:t>                          </w:t>
      </w:r>
    </w:p>
    <w:p>
      <w:pPr>
        <w:pStyle w:val="8"/>
        <w:spacing w:before="0" w:beforeAutospacing="0" w:after="0" w:afterAutospacing="0"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统一社会信用代码：</w:t>
      </w:r>
      <w:r>
        <w:rPr>
          <w:rFonts w:hint="eastAsia" w:ascii="宋体" w:hAnsi="宋体" w:eastAsia="宋体" w:cs="宋体"/>
          <w:b w:val="0"/>
          <w:bCs/>
          <w:color w:val="000000"/>
          <w:sz w:val="24"/>
          <w:szCs w:val="24"/>
        </w:rPr>
        <w:t>       </w:t>
      </w: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b w:val="0"/>
          <w:bCs/>
          <w:color w:val="000000"/>
          <w:sz w:val="24"/>
          <w:szCs w:val="24"/>
        </w:rPr>
        <w:t> </w:t>
      </w:r>
    </w:p>
    <w:p>
      <w:pPr>
        <w:pStyle w:val="8"/>
        <w:spacing w:before="0" w:beforeAutospacing="0" w:after="0" w:afterAutospacing="0"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法定代表人：</w:t>
      </w:r>
      <w:r>
        <w:rPr>
          <w:rFonts w:hint="eastAsia" w:ascii="宋体" w:hAnsi="宋体" w:eastAsia="宋体" w:cs="宋体"/>
          <w:b w:val="0"/>
          <w:bCs/>
          <w:color w:val="000000"/>
          <w:sz w:val="24"/>
          <w:szCs w:val="24"/>
        </w:rPr>
        <w:t>       </w:t>
      </w: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b w:val="0"/>
          <w:bCs/>
          <w:color w:val="000000"/>
          <w:sz w:val="24"/>
          <w:szCs w:val="24"/>
        </w:rPr>
        <w:t> </w:t>
      </w:r>
    </w:p>
    <w:p>
      <w:pPr>
        <w:pStyle w:val="8"/>
        <w:spacing w:before="0" w:beforeAutospacing="0" w:after="0" w:afterAutospacing="0"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地址：</w:t>
      </w:r>
      <w:r>
        <w:rPr>
          <w:rFonts w:hint="eastAsia" w:ascii="宋体" w:hAnsi="宋体" w:eastAsia="宋体" w:cs="宋体"/>
          <w:b w:val="0"/>
          <w:bCs/>
          <w:color w:val="000000"/>
          <w:sz w:val="24"/>
          <w:szCs w:val="24"/>
        </w:rPr>
        <w:t>       </w:t>
      </w: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b w:val="0"/>
          <w:bCs/>
          <w:color w:val="000000"/>
          <w:sz w:val="24"/>
          <w:szCs w:val="24"/>
        </w:rPr>
        <w:t> </w:t>
      </w:r>
    </w:p>
    <w:p>
      <w:pPr>
        <w:pStyle w:val="8"/>
        <w:spacing w:before="0" w:beforeAutospacing="0" w:after="0" w:afterAutospacing="0" w:line="360" w:lineRule="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联系方式：</w:t>
      </w:r>
    </w:p>
    <w:p>
      <w:pPr>
        <w:pStyle w:val="8"/>
        <w:spacing w:before="0" w:beforeAutospacing="0" w:after="0" w:afterAutospacing="0" w:line="360" w:lineRule="auto"/>
        <w:rPr>
          <w:rFonts w:hint="eastAsia" w:ascii="宋体" w:hAnsi="宋体" w:eastAsia="宋体" w:cs="宋体"/>
          <w:b w:val="0"/>
          <w:bCs/>
          <w:color w:val="000000"/>
          <w:sz w:val="24"/>
          <w:szCs w:val="24"/>
          <w:lang w:val="en-US" w:eastAsia="zh-CN"/>
        </w:rPr>
      </w:pPr>
    </w:p>
    <w:p>
      <w:pPr>
        <w:pStyle w:val="8"/>
        <w:spacing w:before="0" w:beforeAutospacing="0" w:after="0" w:afterAutospacing="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签订日期：</w:t>
      </w:r>
    </w:p>
    <w:p>
      <w:pPr>
        <w:pStyle w:val="8"/>
        <w:spacing w:before="0" w:beforeAutospacing="0" w:after="0" w:afterAutospacing="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签订地点：</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根据《中华人民共和国民法典》等有关法律规定，结合本工程具体情况，遵循平等、自愿、公平和诚实信用的原则，供需双方经友好协商，签订本合同。</w:t>
      </w:r>
    </w:p>
    <w:p>
      <w:pPr>
        <w:pStyle w:val="4"/>
        <w:keepNext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sz w:val="24"/>
          <w:szCs w:val="24"/>
        </w:rPr>
        <w:t>设备名称、型号、数量、金额及服务</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甲方拟购买的设备名称、型号、数量及金额如下：</w:t>
      </w:r>
    </w:p>
    <w:p>
      <w:pPr>
        <w:pStyle w:val="8"/>
        <w:keepNext w:val="0"/>
        <w:pageBreakBefore w:val="0"/>
        <w:widowControl/>
        <w:numPr>
          <w:ilvl w:val="1"/>
          <w:numId w:val="2"/>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设备</w:t>
      </w:r>
    </w:p>
    <w:tbl>
      <w:tblPr>
        <w:tblStyle w:val="9"/>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1134"/>
        <w:gridCol w:w="1274"/>
        <w:gridCol w:w="579"/>
        <w:gridCol w:w="579"/>
        <w:gridCol w:w="579"/>
        <w:gridCol w:w="579"/>
        <w:gridCol w:w="1690"/>
        <w:gridCol w:w="224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设备名称</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型号/规格</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单价</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总价</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备注（配置）</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选用品牌及供货商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gridSpan w:val="8"/>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设备（总计）大写（人民币）：</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w:t>
            </w:r>
          </w:p>
        </w:tc>
      </w:tr>
    </w:tbl>
    <w:p>
      <w:pPr>
        <w:pStyle w:val="8"/>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p>
    <w:p>
      <w:pPr>
        <w:pStyle w:val="8"/>
        <w:keepNext w:val="0"/>
        <w:keepLines w:val="0"/>
        <w:pageBreakBefore w:val="0"/>
        <w:widowControl/>
        <w:numPr>
          <w:ilvl w:val="1"/>
          <w:numId w:val="3"/>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技术要求说明：       </w:t>
      </w:r>
    </w:p>
    <w:p>
      <w:pPr>
        <w:pStyle w:val="8"/>
        <w:keepNext w:val="0"/>
        <w:pageBreakBefore w:val="0"/>
        <w:widowControl/>
        <w:numPr>
          <w:ilvl w:val="2"/>
          <w:numId w:val="3"/>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除非本合同另有约定，甲方要求乙方提供与本合同项下设备有关的软硬件产品，附属设施、服务或其他设备正常运转必需的配件，因质量问题引起的维修和更换、技术指导和培训时，无需另行支付任何其他费用。</w:t>
      </w:r>
    </w:p>
    <w:p>
      <w:pPr>
        <w:pStyle w:val="8"/>
        <w:keepNext w:val="0"/>
        <w:pageBreakBefore w:val="0"/>
        <w:widowControl/>
        <w:numPr>
          <w:ilvl w:val="2"/>
          <w:numId w:val="3"/>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设备规格参数见厂家技术手册，质量要求和技术标准需符合国家相关行业产品技术标准。</w:t>
      </w:r>
    </w:p>
    <w:p>
      <w:pPr>
        <w:pStyle w:val="8"/>
        <w:keepNext w:val="0"/>
        <w:pageBreakBefore w:val="0"/>
        <w:widowControl/>
        <w:numPr>
          <w:ilvl w:val="2"/>
          <w:numId w:val="3"/>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在本合同规定的交货时间20天前，甲方如须改变所订材料设备的规格型号和数量及发货时间、到货时间，乙方只可</w:t>
      </w:r>
      <w:bookmarkStart w:id="0" w:name="_GoBack"/>
      <w:bookmarkEnd w:id="0"/>
      <w:r>
        <w:rPr>
          <w:rFonts w:hint="eastAsia" w:ascii="宋体" w:hAnsi="宋体" w:eastAsia="宋体" w:cs="宋体"/>
          <w:color w:val="000000"/>
          <w:sz w:val="24"/>
          <w:szCs w:val="24"/>
        </w:rPr>
        <w:t>对因规格型号和数量的变化而造成的价差调整合同金额，不得另行收取其他费用。</w:t>
      </w:r>
    </w:p>
    <w:p>
      <w:pPr>
        <w:pStyle w:val="4"/>
        <w:keepNext w:val="0"/>
        <w:pageBreakBefore w:val="0"/>
        <w:widowControl/>
        <w:numPr>
          <w:ilvl w:val="0"/>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sz w:val="24"/>
          <w:szCs w:val="24"/>
        </w:rPr>
        <w:t>交货、运输、保险及包装</w:t>
      </w:r>
    </w:p>
    <w:p>
      <w:pPr>
        <w:pStyle w:val="8"/>
        <w:keepNext w:val="0"/>
        <w:pageBreakBefore w:val="0"/>
        <w:widowControl/>
        <w:numPr>
          <w:ilvl w:val="1"/>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交货、运输及保险</w:t>
      </w:r>
    </w:p>
    <w:p>
      <w:pPr>
        <w:pStyle w:val="8"/>
        <w:keepNext w:val="0"/>
        <w:pageBreakBefore w:val="0"/>
        <w:widowControl/>
        <w:numPr>
          <w:ilvl w:val="2"/>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交货时间</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乙方应当在本合同生效后</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天内将甲方所购设备运至甲方指定地点。</w:t>
      </w:r>
    </w:p>
    <w:p>
      <w:pPr>
        <w:pStyle w:val="8"/>
        <w:keepNext w:val="0"/>
        <w:pageBreakBefore w:val="0"/>
        <w:widowControl/>
        <w:numPr>
          <w:ilvl w:val="2"/>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到货地点</w:t>
      </w:r>
    </w:p>
    <w:p>
      <w:pPr>
        <w:pStyle w:val="8"/>
        <w:keepNext w:val="0"/>
        <w:pageBreakBefore w:val="0"/>
        <w:widowControl/>
        <w:numPr>
          <w:ilvl w:val="3"/>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乙方负责将本合同项下设备按照本合同约定的交货时间运至本合同约定的到货地点，乙方应于交货同时提供本合同所要求的相关技术文件。 双方应在到货当天共同签署设备到货签收单（设备到货签收单的样式见附件4），以确认乙方交货数量。乙方应根据甲方在上述交货地点指定的场地卸货，否则，甲方有权拒收货物。交货地点应为乙方机动车可以到达且甲方指定的位置，乙方负责从机动车吊装到地面（如果为吊装孔或平台吊装，则由乙方负责吊装落地，但落地后的二次搬运、设备就位由甲方或甲方指定接收人负责）。</w:t>
      </w:r>
    </w:p>
    <w:p>
      <w:pPr>
        <w:pStyle w:val="8"/>
        <w:keepNext w:val="0"/>
        <w:pageBreakBefore w:val="0"/>
        <w:widowControl/>
        <w:numPr>
          <w:ilvl w:val="3"/>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到货地点为：</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pStyle w:val="8"/>
        <w:keepNext w:val="0"/>
        <w:pageBreakBefore w:val="0"/>
        <w:widowControl/>
        <w:numPr>
          <w:ilvl w:val="2"/>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乙方负责为设备投保。</w:t>
      </w:r>
    </w:p>
    <w:p>
      <w:pPr>
        <w:pStyle w:val="8"/>
        <w:keepNext w:val="0"/>
        <w:pageBreakBefore w:val="0"/>
        <w:widowControl/>
        <w:numPr>
          <w:ilvl w:val="2"/>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设备价格已包含运费、保险费、税费以及服务费等其他费用。</w:t>
      </w:r>
    </w:p>
    <w:p>
      <w:pPr>
        <w:pStyle w:val="8"/>
        <w:keepNext w:val="0"/>
        <w:pageBreakBefore w:val="0"/>
        <w:widowControl/>
        <w:numPr>
          <w:ilvl w:val="1"/>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包装</w:t>
      </w:r>
    </w:p>
    <w:p>
      <w:pPr>
        <w:pStyle w:val="8"/>
        <w:keepNext w:val="0"/>
        <w:pageBreakBefore w:val="0"/>
        <w:widowControl/>
        <w:numPr>
          <w:ilvl w:val="2"/>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乙方应提供设备运至合同规定的到货地点所需要的包装，以防止设备在运输过程中遭到损坏。这类包装应采取防潮、防晒、防震、防压、防水及防止其他损坏的必要保护措施，从而保护设备能够经受多次搬运、装卸以及较长时间的运输。乙方应承担由于其包装不良或其防护措施不妥而引起的一切损失。</w:t>
      </w:r>
    </w:p>
    <w:p>
      <w:pPr>
        <w:pStyle w:val="8"/>
        <w:keepNext w:val="0"/>
        <w:pageBreakBefore w:val="0"/>
        <w:widowControl/>
        <w:numPr>
          <w:ilvl w:val="2"/>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乙方需以不褪色的油漆和明显字样在每件设备箱表面做出如下标记：</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（1）收货人；</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（2）合同号；</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（3）发货标记（唛头）；</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（4）目的港/到货地点；</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（5）设备名称、型号、规格、序列号；</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（6）毛重/净重。</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根据设备具体特点和运输要求，乙方应在设备箱表面标记“重心”和起吊位置，以及“勿使受潮”“小心轻放”等字样。</w:t>
      </w:r>
    </w:p>
    <w:p>
      <w:pPr>
        <w:pStyle w:val="8"/>
        <w:keepNext w:val="0"/>
        <w:pageBreakBefore w:val="0"/>
        <w:widowControl/>
        <w:numPr>
          <w:ilvl w:val="2"/>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乙方交付的技术文件应有适合于长途运输、多次搬运以及防雨和防潮的包装。每包技术文件封面应标明如下内容：合同号、收货单位名称、目的站、毛重、箱号/件号。每包技术文件内应附技术文件清单一式两份，标明技术文件的序号、文件项号、名称和页数。</w:t>
      </w:r>
    </w:p>
    <w:p>
      <w:pPr>
        <w:pStyle w:val="8"/>
        <w:keepNext w:val="0"/>
        <w:pageBreakBefore w:val="0"/>
        <w:widowControl/>
        <w:numPr>
          <w:ilvl w:val="2"/>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设备在运输过程中发生损坏和丢失时，乙方负责与承运人及保险公司交涉，同时应在甲乙双方协商确定的补供设备期限内尽快向甲方提供替代设备。</w:t>
      </w:r>
    </w:p>
    <w:p>
      <w:pPr>
        <w:pStyle w:val="8"/>
        <w:keepNext w:val="0"/>
        <w:pageBreakBefore w:val="0"/>
        <w:widowControl/>
        <w:numPr>
          <w:ilvl w:val="2"/>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乙方应在装运前1天以传真方式将设备名称、数量、运单号、发运日期、估计的到货日期以及每件包装的重量、体积等通知甲方以便甲方接货。</w:t>
      </w:r>
    </w:p>
    <w:p>
      <w:pPr>
        <w:pStyle w:val="4"/>
        <w:keepNext w:val="0"/>
        <w:pageBreakBefore w:val="0"/>
        <w:widowControl/>
        <w:numPr>
          <w:ilvl w:val="0"/>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sz w:val="24"/>
          <w:szCs w:val="24"/>
        </w:rPr>
        <w:t>验收调试</w:t>
      </w:r>
    </w:p>
    <w:p>
      <w:pPr>
        <w:pStyle w:val="8"/>
        <w:keepNext w:val="0"/>
        <w:pageBreakBefore w:val="0"/>
        <w:widowControl/>
        <w:numPr>
          <w:ilvl w:val="1"/>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外包装检验</w:t>
      </w:r>
    </w:p>
    <w:p>
      <w:pPr>
        <w:pStyle w:val="8"/>
        <w:keepNext w:val="0"/>
        <w:pageBreakBefore w:val="0"/>
        <w:widowControl/>
        <w:numPr>
          <w:ilvl w:val="2"/>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全部设备运至甲方指定的交货地点后</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个工作日内，甲方和乙方共同对设备进行外包装检验。</w:t>
      </w:r>
    </w:p>
    <w:p>
      <w:pPr>
        <w:pStyle w:val="8"/>
        <w:keepNext w:val="0"/>
        <w:pageBreakBefore w:val="0"/>
        <w:widowControl/>
        <w:numPr>
          <w:ilvl w:val="2"/>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检验内容为：设备外包装是否破损、变形、运输底盘是否完好、运输标志是否正常等。</w:t>
      </w:r>
    </w:p>
    <w:p>
      <w:pPr>
        <w:pStyle w:val="8"/>
        <w:keepNext w:val="0"/>
        <w:pageBreakBefore w:val="0"/>
        <w:widowControl/>
        <w:numPr>
          <w:ilvl w:val="1"/>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设备的调试和安装验收。</w:t>
      </w:r>
    </w:p>
    <w:p>
      <w:pPr>
        <w:pStyle w:val="8"/>
        <w:keepNext w:val="0"/>
        <w:pageBreakBefore w:val="0"/>
        <w:widowControl/>
        <w:numPr>
          <w:ilvl w:val="2"/>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乙方负责按照甲方的要求完成设备的安装（设备安装的具体要求见附件一第一款）。</w:t>
      </w:r>
    </w:p>
    <w:p>
      <w:pPr>
        <w:pStyle w:val="8"/>
        <w:keepNext w:val="0"/>
        <w:pageBreakBefore w:val="0"/>
        <w:widowControl/>
        <w:numPr>
          <w:ilvl w:val="2"/>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乙方负责设备安装后的调试工作，并负责安装调试过程中所有损坏零部件的更换（设备调试的具体要求见附件一第二款）。</w:t>
      </w:r>
    </w:p>
    <w:p>
      <w:pPr>
        <w:pStyle w:val="8"/>
        <w:keepNext w:val="0"/>
        <w:pageBreakBefore w:val="0"/>
        <w:widowControl/>
        <w:numPr>
          <w:ilvl w:val="2"/>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设备调试运行后，甲方和乙方应共同对设备进行安装验收（安装验收的具体要求见附件一第三款）。安装验收内容包括硬件验收和软件联机验收，以确保设备符合本合同规定的要求及标准，并能够正常联网运行。设备经安装验收合格后，由双方共同签署《</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设备验收合格单》（格式见附件五）。</w:t>
      </w:r>
    </w:p>
    <w:p>
      <w:pPr>
        <w:pStyle w:val="4"/>
        <w:keepNext w:val="0"/>
        <w:pageBreakBefore w:val="0"/>
        <w:widowControl/>
        <w:numPr>
          <w:ilvl w:val="0"/>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sz w:val="24"/>
          <w:szCs w:val="24"/>
        </w:rPr>
        <w:t>付款</w:t>
      </w:r>
    </w:p>
    <w:p>
      <w:pPr>
        <w:pStyle w:val="8"/>
        <w:keepNext w:val="0"/>
        <w:pageBreakBefore w:val="0"/>
        <w:widowControl/>
        <w:numPr>
          <w:ilvl w:val="1"/>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合同总价按照以下约定支付：</w:t>
      </w:r>
    </w:p>
    <w:p>
      <w:pPr>
        <w:pStyle w:val="8"/>
        <w:keepNext w:val="0"/>
        <w:pageBreakBefore w:val="0"/>
        <w:widowControl/>
        <w:numPr>
          <w:ilvl w:val="2"/>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合同总价值的</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%（即</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元），在本合同生效后</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天内由甲方向乙方支付。</w:t>
      </w:r>
    </w:p>
    <w:p>
      <w:pPr>
        <w:pStyle w:val="8"/>
        <w:keepNext w:val="0"/>
        <w:pageBreakBefore w:val="0"/>
        <w:widowControl/>
        <w:numPr>
          <w:ilvl w:val="2"/>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合同总价值的</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%（即</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元），将在甲方验货并签署《设备验收合格单》后，由乙方开出发票，甲方自收到发票之日起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天内付款。</w:t>
      </w:r>
    </w:p>
    <w:p>
      <w:pPr>
        <w:pStyle w:val="8"/>
        <w:keepNext w:val="0"/>
        <w:pageBreakBefore w:val="0"/>
        <w:widowControl/>
        <w:numPr>
          <w:ilvl w:val="2"/>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剩余</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％设备款（即</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元），作为质量保证金，在质量保证期满且双方无异议的情况下，由甲方自收到发票之日起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天内向乙方支付。</w:t>
      </w:r>
    </w:p>
    <w:p>
      <w:pPr>
        <w:pStyle w:val="8"/>
        <w:keepNext w:val="0"/>
        <w:pageBreakBefore w:val="0"/>
        <w:widowControl/>
        <w:numPr>
          <w:ilvl w:val="2"/>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乙方凭甲方审批单申请合同款项，凭发票领取合同款，其发票应符合国家及地方税务法规之要求。</w:t>
      </w:r>
    </w:p>
    <w:p>
      <w:pPr>
        <w:pStyle w:val="8"/>
        <w:keepNext w:val="0"/>
        <w:pageBreakBefore w:val="0"/>
        <w:widowControl/>
        <w:numPr>
          <w:ilvl w:val="1"/>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支付方式。</w:t>
      </w:r>
    </w:p>
    <w:p>
      <w:pPr>
        <w:pStyle w:val="8"/>
        <w:keepNext w:val="0"/>
        <w:pageBreakBefore w:val="0"/>
        <w:widowControl/>
        <w:numPr>
          <w:ilvl w:val="2"/>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双方同意本合同货款以人民币结算，本合同所涉款项均以</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方式（电汇/汇票/转账支票）汇入本合同指定的银行账户。</w:t>
      </w:r>
    </w:p>
    <w:p>
      <w:pPr>
        <w:pStyle w:val="8"/>
        <w:keepNext w:val="0"/>
        <w:pageBreakBefore w:val="0"/>
        <w:widowControl/>
        <w:numPr>
          <w:ilvl w:val="2"/>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收款单位：</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pStyle w:val="8"/>
        <w:keepNext w:val="0"/>
        <w:pageBreakBefore w:val="0"/>
        <w:widowControl/>
        <w:numPr>
          <w:ilvl w:val="2"/>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银行账号：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pStyle w:val="8"/>
        <w:keepNext w:val="0"/>
        <w:pageBreakBefore w:val="0"/>
        <w:widowControl/>
        <w:numPr>
          <w:ilvl w:val="2"/>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pStyle w:val="4"/>
        <w:keepNext w:val="0"/>
        <w:pageBreakBefore w:val="0"/>
        <w:widowControl/>
        <w:numPr>
          <w:ilvl w:val="0"/>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sz w:val="24"/>
          <w:szCs w:val="24"/>
        </w:rPr>
        <w:t>保修与维护</w:t>
      </w:r>
    </w:p>
    <w:p>
      <w:pPr>
        <w:pStyle w:val="8"/>
        <w:keepNext w:val="0"/>
        <w:pageBreakBefore w:val="0"/>
        <w:widowControl/>
        <w:numPr>
          <w:ilvl w:val="1"/>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本合同第一条确定的设备价格已包含乙方向甲方提供的安装和保修服务费用。</w:t>
      </w:r>
    </w:p>
    <w:p>
      <w:pPr>
        <w:pStyle w:val="8"/>
        <w:keepNext w:val="0"/>
        <w:pageBreakBefore w:val="0"/>
        <w:widowControl/>
        <w:numPr>
          <w:ilvl w:val="1"/>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保修服务内容见附件二。</w:t>
      </w:r>
    </w:p>
    <w:p>
      <w:pPr>
        <w:pStyle w:val="8"/>
        <w:keepNext w:val="0"/>
        <w:pageBreakBefore w:val="0"/>
        <w:widowControl/>
        <w:numPr>
          <w:ilvl w:val="1"/>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设备保修期为18个月，自双方共同签署《设备验收合格单》第二天起算。同时必须符合当地</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管理部门的相关规定，如当地</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管理部门没有相关规定或者相关规定低于</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市的要求的，则应适用</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市</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管理部门的相关规定。乙方须将相关随机资料、相关图纸（两套）提交甲方。</w:t>
      </w:r>
    </w:p>
    <w:p>
      <w:pPr>
        <w:pStyle w:val="8"/>
        <w:keepNext w:val="0"/>
        <w:pageBreakBefore w:val="0"/>
        <w:widowControl/>
        <w:numPr>
          <w:ilvl w:val="1"/>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保修期内设备出现任何缺陷或问题，乙方应在接到甲方通知之日起24小时内派技术人员到达现场进行维修或根据情况进行免费更换。保修期满后的维护及修理只收取成本费。如设备出现故障，在接到通知后，乙方维修人员24小时内即到现场。</w:t>
      </w:r>
    </w:p>
    <w:p>
      <w:pPr>
        <w:pStyle w:val="4"/>
        <w:keepNext w:val="0"/>
        <w:pageBreakBefore w:val="0"/>
        <w:widowControl/>
        <w:numPr>
          <w:ilvl w:val="0"/>
          <w:numId w:val="8"/>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sz w:val="24"/>
          <w:szCs w:val="24"/>
        </w:rPr>
        <w:t>质量保证</w:t>
      </w:r>
    </w:p>
    <w:p>
      <w:pPr>
        <w:pStyle w:val="8"/>
        <w:keepNext w:val="0"/>
        <w:pageBreakBefore w:val="0"/>
        <w:widowControl/>
        <w:numPr>
          <w:ilvl w:val="1"/>
          <w:numId w:val="8"/>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乙方应保证所提供的设备符合</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标准。所有设备在做出厂实验时必须邀请甲方和监理公司参加验收，合格后方可包装送货。</w:t>
      </w:r>
    </w:p>
    <w:p>
      <w:pPr>
        <w:pStyle w:val="8"/>
        <w:keepNext w:val="0"/>
        <w:pageBreakBefore w:val="0"/>
        <w:widowControl/>
        <w:numPr>
          <w:ilvl w:val="1"/>
          <w:numId w:val="8"/>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乙方应保证所提供的设备是全新的、在交付时没有材质或工艺上的缺陷且符合甲方提出的技术标准及规范；乙方应保证其出售的设备可供正常和恰当地使用，并且在经过正确安装、正常操作和保养的前提下，在设备的寿命期内运转良好（设备的使用寿命期为</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年）；设备的材料和零部件均应符合或优于甲方提出的技术标准及规范，设备以及零部件的质量标准及规范见附件三。           </w:t>
      </w:r>
    </w:p>
    <w:p>
      <w:pPr>
        <w:pStyle w:val="8"/>
        <w:keepNext w:val="0"/>
        <w:pageBreakBefore w:val="0"/>
        <w:widowControl/>
        <w:numPr>
          <w:ilvl w:val="1"/>
          <w:numId w:val="8"/>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果由于工艺的复杂性或交付数量巨大或其他甲方认为正当的理由，使得甲方无法在交付时对设备进行及时检验或由于设备缺陷的隐蔽性导致甲方在交付时未能查验出设备的质量瑕疵，那么，只要甲方在交付后的一年中发现乙方提供的设备或其零部件与前述标准或规范不符，甲方仍有权要求乙方修理或更换，修理、更换的费用以及由此引起的其他拆除、搬移及修复费用均由乙方承担。质量保证期自修理或更换符合合同约定之设备的第二天起算。</w:t>
      </w:r>
    </w:p>
    <w:p>
      <w:pPr>
        <w:pStyle w:val="8"/>
        <w:keepNext w:val="0"/>
        <w:pageBreakBefore w:val="0"/>
        <w:widowControl/>
        <w:numPr>
          <w:ilvl w:val="1"/>
          <w:numId w:val="8"/>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乙方应保证所提供设备通过当地</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管理部门及相关部门的验收。</w:t>
      </w:r>
    </w:p>
    <w:p>
      <w:pPr>
        <w:pStyle w:val="4"/>
        <w:keepNext w:val="0"/>
        <w:pageBreakBefore w:val="0"/>
        <w:widowControl/>
        <w:numPr>
          <w:ilvl w:val="0"/>
          <w:numId w:val="9"/>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sz w:val="24"/>
          <w:szCs w:val="24"/>
        </w:rPr>
        <w:t>保密</w:t>
      </w:r>
    </w:p>
    <w:p>
      <w:pPr>
        <w:pStyle w:val="8"/>
        <w:keepNext w:val="0"/>
        <w:pageBreakBefore w:val="0"/>
        <w:widowControl/>
        <w:numPr>
          <w:ilvl w:val="1"/>
          <w:numId w:val="9"/>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非经甲方事先书面同意，乙方不得将甲方在本合同签署及履行过程中披露的且标注为“保密”或“秘密”的任何标准、规范、计划、图纸、模型、样品、资料或其他信息披露给任何第三人；乙方向与履行本合同有关的人员提供上述文件时，应限于履行合同必需的范围并保证有关人员遵守保密义务；由于乙方原因引起泄密而造成甲方损失的，由乙方赔偿全部损失。</w:t>
      </w:r>
    </w:p>
    <w:p>
      <w:pPr>
        <w:pStyle w:val="8"/>
        <w:keepNext w:val="0"/>
        <w:pageBreakBefore w:val="0"/>
        <w:widowControl/>
        <w:numPr>
          <w:ilvl w:val="1"/>
          <w:numId w:val="9"/>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本条款构成独立的保密协议。本条款的义务不因本合同的终止而终止。本条款的效力于上述需要保密的文件、资料等的秘密性全部丧失时终止。</w:t>
      </w:r>
    </w:p>
    <w:p>
      <w:pPr>
        <w:pStyle w:val="4"/>
        <w:keepNext w:val="0"/>
        <w:pageBreakBefore w:val="0"/>
        <w:widowControl/>
        <w:numPr>
          <w:ilvl w:val="0"/>
          <w:numId w:val="10"/>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sz w:val="24"/>
          <w:szCs w:val="24"/>
        </w:rPr>
        <w:t>对侵权索赔的辩护</w:t>
      </w:r>
    </w:p>
    <w:p>
      <w:pPr>
        <w:pStyle w:val="8"/>
        <w:keepNext w:val="0"/>
        <w:pageBreakBefore w:val="0"/>
        <w:widowControl/>
        <w:numPr>
          <w:ilvl w:val="1"/>
          <w:numId w:val="10"/>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乙方应保证，甲方在中华人民共和国使用本合同项下设备或设备的一部分时，免于遭受第三方就知识产权（包括但不限于专利权、商标权、著作权及非专利技术）提起的诉讼、仲裁或任何请求。</w:t>
      </w:r>
    </w:p>
    <w:p>
      <w:pPr>
        <w:pStyle w:val="8"/>
        <w:keepNext w:val="0"/>
        <w:pageBreakBefore w:val="0"/>
        <w:widowControl/>
        <w:numPr>
          <w:ilvl w:val="1"/>
          <w:numId w:val="10"/>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果发生因乙方出售的设备或设备的一部分侵犯了他人知识产权而针对甲方提起索赔或诉讼的情况，且甲方将此等情况及时通知了乙方并向乙方提供了合理的信息与协助，并且授权乙方独立进行辩护和解决索赔问题，乙方将自费进行辩护，并支付全部费用和由于该案最终判决或裁决/裁定而支付的赔偿金，以及赔偿甲方因此而受到的一切损失。</w:t>
      </w:r>
    </w:p>
    <w:p>
      <w:pPr>
        <w:pStyle w:val="4"/>
        <w:keepNext w:val="0"/>
        <w:pageBreakBefore w:val="0"/>
        <w:widowControl/>
        <w:numPr>
          <w:ilvl w:val="0"/>
          <w:numId w:val="11"/>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sz w:val="24"/>
          <w:szCs w:val="24"/>
        </w:rPr>
        <w:t>违约责任</w:t>
      </w:r>
    </w:p>
    <w:p>
      <w:pPr>
        <w:pStyle w:val="8"/>
        <w:keepNext w:val="0"/>
        <w:pageBreakBefore w:val="0"/>
        <w:widowControl/>
        <w:numPr>
          <w:ilvl w:val="1"/>
          <w:numId w:val="11"/>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除不可抗力外，如乙方不能按照本合同规定的时间交货和提供服务的，乙方应在不影响本合同项下甲方享有的其他补救措施的情况下，自合同规定的交货期第二天起按滞延天数每天支付甲方设备总价值</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%的滞纳金。但迟延交货的滞纳金总额不得超过设备总价值的</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pStyle w:val="8"/>
        <w:keepNext w:val="0"/>
        <w:pageBreakBefore w:val="0"/>
        <w:widowControl/>
        <w:numPr>
          <w:ilvl w:val="1"/>
          <w:numId w:val="11"/>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乙方应尽快将迟延交货的时间以及为消除延期交货而采取的相应措施书面告知甲方。</w:t>
      </w:r>
    </w:p>
    <w:p>
      <w:pPr>
        <w:pStyle w:val="8"/>
        <w:keepNext w:val="0"/>
        <w:pageBreakBefore w:val="0"/>
        <w:widowControl/>
        <w:numPr>
          <w:ilvl w:val="1"/>
          <w:numId w:val="11"/>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乙方负责按照合同附件提供系统成套设备，所有设备必须保证是原厂正品、未经使用的全新产品（提供合格证及出厂证），如有假冒伪劣产品或旧货冒充新货，一经发现，乙方除无条件免费更换外，还需承担合同总价20%的违约金。</w:t>
      </w:r>
    </w:p>
    <w:p>
      <w:pPr>
        <w:pStyle w:val="8"/>
        <w:keepNext w:val="0"/>
        <w:pageBreakBefore w:val="0"/>
        <w:widowControl/>
        <w:numPr>
          <w:ilvl w:val="1"/>
          <w:numId w:val="11"/>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设备到达目的地后，甲方按乙方提供的设备清单及检验产品合格证、使用说明书和其它的技术资料、检查设备及随机附件是否完整无损，技术资料与图纸是否与甲方的要求相符。如有损坏、缺件等情况，乙方自行负责；乙方所提供的设备，全部技术性能均须达到中华人民共和国有关低压设备和高压设备制造与安装的国家标准要求，验收标准依据国家和甲方当地有关部门的相关规定执行。</w:t>
      </w:r>
    </w:p>
    <w:p>
      <w:pPr>
        <w:pStyle w:val="8"/>
        <w:keepNext w:val="0"/>
        <w:pageBreakBefore w:val="0"/>
        <w:widowControl/>
        <w:numPr>
          <w:ilvl w:val="1"/>
          <w:numId w:val="11"/>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质量保证期期间，如遇与所供设备有关的问题在接用户通知后24小时内应赶至现场提供免费维修服务并及时维修完成；否则，甲方或甲方委托人有权委托他人维修，费用无条件由乙方承担，并从保修金中扣除，保修金不足部分，甲方有权向乙方索赔。乙方违反保修条款，每次按2000元承担违约责任，在质保期满以后，乙方应按其在当地同类机组的最优惠价格提供保养服务，当发生故障时，乙方应在24小时内派人赶往现场进行维修，并按甲方要求时间完成维修服务。</w:t>
      </w:r>
    </w:p>
    <w:p>
      <w:pPr>
        <w:pStyle w:val="8"/>
        <w:keepNext w:val="0"/>
        <w:pageBreakBefore w:val="0"/>
        <w:widowControl/>
        <w:numPr>
          <w:ilvl w:val="1"/>
          <w:numId w:val="11"/>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乙方负责对用户使用、操作、维修、保养人员免费进行培训。乙方应提供售后服务队伍名称、资质、人员配备、联系地址、电话等详细资料，并提供在保修期的维修保养计划书。</w:t>
      </w:r>
    </w:p>
    <w:p>
      <w:pPr>
        <w:pStyle w:val="8"/>
        <w:keepNext w:val="0"/>
        <w:pageBreakBefore w:val="0"/>
        <w:widowControl/>
        <w:numPr>
          <w:ilvl w:val="1"/>
          <w:numId w:val="11"/>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乙方不得接受甲方职员介绍的家属或者亲友从事与合同相关的业务。乙方应当通过正常途径开展相关业务，不得为获取某些不正当利益而向甲方职员赠送礼金、有价证券和贵重物品；或给甲方职员报销其个人费用；或邀请甲方职员外出旅游和进入营业性娱乐场所；或为甲方职员住房装修、婚丧嫁娶、家属和子女的工作安排以及出国等提供方便。</w:t>
      </w:r>
    </w:p>
    <w:p>
      <w:pPr>
        <w:pStyle w:val="8"/>
        <w:keepNext w:val="0"/>
        <w:pageBreakBefore w:val="0"/>
        <w:widowControl/>
        <w:numPr>
          <w:ilvl w:val="1"/>
          <w:numId w:val="11"/>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乙方如发现甲方职员有违反上述约定者，应向甲方举报。甲方对举报属实和严格遵守本条款的乙方，在同等条件下优先考虑与乙方继续合作。甲方发现乙方有违反本条款或者采用不正当的手段行贿甲方职员等不正当竞争行为的，甲方有权根据具体情节和造成的后果追究乙方合同总额5%的违约金，违约金不足以弥补甲方损失的，甲方可继续向乙方追偿。甲方有权解除合同。</w:t>
      </w:r>
    </w:p>
    <w:p>
      <w:pPr>
        <w:pStyle w:val="8"/>
        <w:keepNext w:val="0"/>
        <w:pageBreakBefore w:val="0"/>
        <w:widowControl/>
        <w:numPr>
          <w:ilvl w:val="1"/>
          <w:numId w:val="11"/>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按照本合同约定应当支付的违约金、滞纳金以及其他损失赔偿费用应当在明确责任后10天内付清，否则按逾期付款处理。</w:t>
      </w:r>
    </w:p>
    <w:p>
      <w:pPr>
        <w:pStyle w:val="4"/>
        <w:keepNext w:val="0"/>
        <w:pageBreakBefore w:val="0"/>
        <w:widowControl/>
        <w:numPr>
          <w:ilvl w:val="0"/>
          <w:numId w:val="12"/>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sz w:val="24"/>
          <w:szCs w:val="24"/>
        </w:rPr>
        <w:t>合同解除</w:t>
      </w:r>
    </w:p>
    <w:p>
      <w:pPr>
        <w:pStyle w:val="8"/>
        <w:keepNext w:val="0"/>
        <w:pageBreakBefore w:val="0"/>
        <w:widowControl/>
        <w:numPr>
          <w:ilvl w:val="1"/>
          <w:numId w:val="12"/>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如乙方在合同履行中存在下述情形，甲方可随时向乙方发出书面通知，解除部分或全部合同：</w:t>
      </w:r>
    </w:p>
    <w:p>
      <w:pPr>
        <w:pStyle w:val="8"/>
        <w:keepNext w:val="0"/>
        <w:pageBreakBefore w:val="0"/>
        <w:widowControl/>
        <w:numPr>
          <w:ilvl w:val="2"/>
          <w:numId w:val="12"/>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乙方迟延提供部分或全部设备或服务超过</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天。</w:t>
      </w:r>
    </w:p>
    <w:p>
      <w:pPr>
        <w:pStyle w:val="8"/>
        <w:keepNext w:val="0"/>
        <w:pageBreakBefore w:val="0"/>
        <w:widowControl/>
        <w:numPr>
          <w:ilvl w:val="2"/>
          <w:numId w:val="12"/>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乙方交付的设备不符合本合同约定或乙方未能履行本合同规定的其他实质性义务，经甲方提出异议后</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天没有采取有效的补救措施。</w:t>
      </w:r>
    </w:p>
    <w:p>
      <w:pPr>
        <w:pStyle w:val="8"/>
        <w:keepNext w:val="0"/>
        <w:pageBreakBefore w:val="0"/>
        <w:widowControl/>
        <w:numPr>
          <w:ilvl w:val="1"/>
          <w:numId w:val="12"/>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甲方根据第10.1款约定解除本合同，并不损害甲方在解除合同时要求金钱赔偿或采取其他救济措施的权利。</w:t>
      </w:r>
    </w:p>
    <w:p>
      <w:pPr>
        <w:pStyle w:val="4"/>
        <w:keepNext w:val="0"/>
        <w:pageBreakBefore w:val="0"/>
        <w:widowControl/>
        <w:numPr>
          <w:ilvl w:val="0"/>
          <w:numId w:val="13"/>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sz w:val="24"/>
          <w:szCs w:val="24"/>
        </w:rPr>
        <w:t>弃权</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甲方在行使权利过程中的疏漏或者迟延不应视为弃权；甲方部分地行使权利不应阻止其进一步行使权利。本合同中规定的甲方享有的权利和救济是累积的，且不排除法律规定的任何其他权利和救济。</w:t>
      </w:r>
    </w:p>
    <w:p>
      <w:pPr>
        <w:pStyle w:val="4"/>
        <w:keepNext w:val="0"/>
        <w:pageBreakBefore w:val="0"/>
        <w:widowControl/>
        <w:numPr>
          <w:ilvl w:val="0"/>
          <w:numId w:val="14"/>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sz w:val="24"/>
          <w:szCs w:val="24"/>
        </w:rPr>
        <w:t>税务</w:t>
      </w:r>
    </w:p>
    <w:p>
      <w:pPr>
        <w:pStyle w:val="8"/>
        <w:keepNext w:val="0"/>
        <w:pageBreakBefore w:val="0"/>
        <w:widowControl/>
        <w:numPr>
          <w:ilvl w:val="1"/>
          <w:numId w:val="14"/>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甲乙双方将自行承担有关机构根据法律向其征收的所有与本合同有关的税费。</w:t>
      </w:r>
    </w:p>
    <w:p>
      <w:pPr>
        <w:pStyle w:val="8"/>
        <w:keepNext w:val="0"/>
        <w:pageBreakBefore w:val="0"/>
        <w:widowControl/>
        <w:numPr>
          <w:ilvl w:val="1"/>
          <w:numId w:val="14"/>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乙方负责缴纳就本合同所课征的所有增值税，增值税的税款已包括在本合同总价内。</w:t>
      </w:r>
    </w:p>
    <w:p>
      <w:pPr>
        <w:pStyle w:val="4"/>
        <w:keepNext w:val="0"/>
        <w:pageBreakBefore w:val="0"/>
        <w:widowControl/>
        <w:numPr>
          <w:ilvl w:val="0"/>
          <w:numId w:val="15"/>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sz w:val="24"/>
          <w:szCs w:val="24"/>
        </w:rPr>
        <w:t>不可抗力</w:t>
      </w:r>
    </w:p>
    <w:p>
      <w:pPr>
        <w:pStyle w:val="8"/>
        <w:keepNext w:val="0"/>
        <w:pageBreakBefore w:val="0"/>
        <w:widowControl/>
        <w:numPr>
          <w:ilvl w:val="1"/>
          <w:numId w:val="15"/>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果任何一方因不可抗力，如战争、火灾、台风、洪水、地震、恐怖事件导致合同履行被迫停止或不得不推迟履行本合同，双方应协商解决合同的进一步履行问题。但遭受不可抗力的一方应采取所有合理措施，将不可抗力引致的延误及损失减至最小。</w:t>
      </w:r>
    </w:p>
    <w:p>
      <w:pPr>
        <w:pStyle w:val="8"/>
        <w:keepNext w:val="0"/>
        <w:pageBreakBefore w:val="0"/>
        <w:widowControl/>
        <w:numPr>
          <w:ilvl w:val="1"/>
          <w:numId w:val="15"/>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受不可抗力影响的一方应将有关情况尽快通过电传或传真通知另一方。在不可抗力出现14天内，受影响的一方应提供一份有关权威机构出具的证明文件并通过快件或挂号信寄至对方以便其检验和确认。</w:t>
      </w:r>
    </w:p>
    <w:p>
      <w:pPr>
        <w:pStyle w:val="8"/>
        <w:keepNext w:val="0"/>
        <w:pageBreakBefore w:val="0"/>
        <w:widowControl/>
        <w:numPr>
          <w:ilvl w:val="1"/>
          <w:numId w:val="15"/>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受影响的一方应在不可抗力终止或被排除后3天内通过电传或传真通知另一方，并通过挂号信通知对方不可抗力已终结或排除。</w:t>
      </w:r>
    </w:p>
    <w:p>
      <w:pPr>
        <w:pStyle w:val="8"/>
        <w:keepNext w:val="0"/>
        <w:pageBreakBefore w:val="0"/>
        <w:widowControl/>
        <w:numPr>
          <w:ilvl w:val="1"/>
          <w:numId w:val="15"/>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如果不可抗力持续作用超过30天，甲乙双方应就合同执行问题进行友好协商，并尽快达成书面协议。如果未能达成书面协议，任何一方有权终止本合同。</w:t>
      </w:r>
    </w:p>
    <w:p>
      <w:pPr>
        <w:pStyle w:val="4"/>
        <w:keepNext w:val="0"/>
        <w:pageBreakBefore w:val="0"/>
        <w:widowControl/>
        <w:numPr>
          <w:ilvl w:val="0"/>
          <w:numId w:val="16"/>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sz w:val="24"/>
          <w:szCs w:val="24"/>
        </w:rPr>
        <w:t>争议解决及法律适用</w:t>
      </w:r>
    </w:p>
    <w:p>
      <w:pPr>
        <w:pStyle w:val="8"/>
        <w:keepNext w:val="0"/>
        <w:pageBreakBefore w:val="0"/>
        <w:widowControl/>
        <w:numPr>
          <w:ilvl w:val="1"/>
          <w:numId w:val="16"/>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本合同适用中华人民共和国法律，并按其进行解释。</w:t>
      </w:r>
    </w:p>
    <w:p>
      <w:pPr>
        <w:pStyle w:val="8"/>
        <w:keepNext w:val="0"/>
        <w:pageBreakBefore w:val="0"/>
        <w:widowControl/>
        <w:numPr>
          <w:ilvl w:val="1"/>
          <w:numId w:val="16"/>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因本合同引起的或与本合同有关的任何争议，应通过双方友好协商解决，如果争议发生后</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天内双方仍不能达成一致，任何一方均可以采取以下第</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项解决方式。</w:t>
      </w:r>
    </w:p>
    <w:p>
      <w:pPr>
        <w:pStyle w:val="8"/>
        <w:keepNext w:val="0"/>
        <w:pageBreakBefore w:val="0"/>
        <w:widowControl/>
        <w:numPr>
          <w:ilvl w:val="2"/>
          <w:numId w:val="16"/>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向</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仲裁委员会申请仲裁。仲裁裁决为终局裁决，对双方均有约束力。</w:t>
      </w:r>
    </w:p>
    <w:p>
      <w:pPr>
        <w:pStyle w:val="8"/>
        <w:keepNext w:val="0"/>
        <w:pageBreakBefore w:val="0"/>
        <w:widowControl/>
        <w:numPr>
          <w:ilvl w:val="2"/>
          <w:numId w:val="16"/>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向买方所在地有管辖权的法院提起诉讼。</w:t>
      </w:r>
    </w:p>
    <w:p>
      <w:pPr>
        <w:pStyle w:val="4"/>
        <w:keepNext w:val="0"/>
        <w:pageBreakBefore w:val="0"/>
        <w:widowControl/>
        <w:numPr>
          <w:ilvl w:val="0"/>
          <w:numId w:val="17"/>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sz w:val="24"/>
          <w:szCs w:val="24"/>
        </w:rPr>
        <w:t>合同的更改</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本合同的任何变更、修改均须双方同意并签署书面意见方为有效，因更改合同致使一方遭受损失的，应由责任方赔偿。</w:t>
      </w:r>
    </w:p>
    <w:p>
      <w:pPr>
        <w:pStyle w:val="4"/>
        <w:keepNext w:val="0"/>
        <w:pageBreakBefore w:val="0"/>
        <w:widowControl/>
        <w:numPr>
          <w:ilvl w:val="0"/>
          <w:numId w:val="18"/>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sz w:val="24"/>
          <w:szCs w:val="24"/>
        </w:rPr>
        <w:t>合同生效及其他</w:t>
      </w:r>
    </w:p>
    <w:p>
      <w:pPr>
        <w:pStyle w:val="8"/>
        <w:keepNext w:val="0"/>
        <w:pageBreakBefore w:val="0"/>
        <w:widowControl/>
        <w:numPr>
          <w:ilvl w:val="1"/>
          <w:numId w:val="18"/>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本合同一式六份，甲乙双方各执三份，自双方签字盖章之日起生效。</w:t>
      </w:r>
    </w:p>
    <w:p>
      <w:pPr>
        <w:pStyle w:val="8"/>
        <w:keepNext w:val="0"/>
        <w:pageBreakBefore w:val="0"/>
        <w:widowControl/>
        <w:numPr>
          <w:ilvl w:val="1"/>
          <w:numId w:val="18"/>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本合同附件均为本合同不可分割的组成部分，与本合同正文具有同等效力。</w:t>
      </w:r>
    </w:p>
    <w:p>
      <w:pPr>
        <w:pStyle w:val="8"/>
        <w:keepNext w:val="0"/>
        <w:pageBreakBefore w:val="0"/>
        <w:widowControl/>
        <w:numPr>
          <w:ilvl w:val="1"/>
          <w:numId w:val="18"/>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本合同正文及其附件均为中文文本。如有其他文本且与中文文本不一致时，以中文文本为准。</w:t>
      </w:r>
    </w:p>
    <w:p>
      <w:pPr>
        <w:pStyle w:val="8"/>
        <w:keepNext w:val="0"/>
        <w:pageBreakBefore w:val="0"/>
        <w:widowControl/>
        <w:numPr>
          <w:ilvl w:val="1"/>
          <w:numId w:val="18"/>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其他未尽事宜（任何与本合同相关但未在本合同中明确规定的事项）将由双方友好协商并另行达成书面合同予以解决。</w:t>
      </w:r>
    </w:p>
    <w:p>
      <w:pPr>
        <w:pStyle w:val="8"/>
        <w:keepNext w:val="0"/>
        <w:pageBreakBefore w:val="0"/>
        <w:widowControl/>
        <w:numPr>
          <w:ilvl w:val="1"/>
          <w:numId w:val="18"/>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通知：如果由任何一方向另一方发出任何通知或书面通信均应以电传发出，并以电话知会对方和用航空挂号信加以确认，迅速发往或寄往适当的地址。本合同规定的通知或通信，如用航空寄出，邮戳日期后的</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日应视为收件日期；如用电报或图文传真发出，电报或传真发出后的</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日应视为收件日期。一切通知和通信均应发往本合同规定的地址，直到向各方发出书面通知更改该地址为止。</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甲方：</w:t>
      </w:r>
      <w:r>
        <w:rPr>
          <w:rFonts w:hint="eastAsia" w:ascii="宋体" w:hAnsi="宋体" w:eastAsia="宋体" w:cs="宋体"/>
          <w:color w:val="000000"/>
          <w:sz w:val="24"/>
          <w:szCs w:val="24"/>
        </w:rPr>
        <w:t>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委托代理人</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：（签字或盖章）</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电话：</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帐号：</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乙方：</w:t>
      </w:r>
      <w:r>
        <w:rPr>
          <w:rFonts w:hint="eastAsia" w:ascii="宋体" w:hAnsi="宋体" w:eastAsia="宋体" w:cs="宋体"/>
          <w:color w:val="000000"/>
          <w:sz w:val="24"/>
          <w:szCs w:val="24"/>
        </w:rPr>
        <w:t>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法定代表人：（签字或盖章）</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委托代理人：（签字或盖章）</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电话：</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帐号：</w:t>
      </w:r>
    </w:p>
    <w:p>
      <w:pPr>
        <w:pStyle w:val="3"/>
        <w:spacing w:before="0" w:beforeAutospacing="0" w:after="0" w:afterAutospacing="0" w:line="360" w:lineRule="auto"/>
        <w:rPr>
          <w:rFonts w:ascii="宋体" w:hAnsi="宋体" w:cs="宋体"/>
          <w:sz w:val="32"/>
        </w:rPr>
      </w:pPr>
    </w:p>
    <w:p>
      <w:pPr>
        <w:pStyle w:val="3"/>
        <w:spacing w:before="0" w:beforeAutospacing="0" w:after="0" w:afterAutospacing="0" w:line="360" w:lineRule="auto"/>
        <w:rPr>
          <w:rFonts w:ascii="宋体" w:hAnsi="宋体" w:cs="宋体"/>
          <w:sz w:val="32"/>
        </w:rPr>
      </w:pPr>
      <w:r>
        <w:rPr>
          <w:rFonts w:ascii="宋体" w:hAnsi="宋体" w:cs="宋体"/>
          <w:sz w:val="32"/>
        </w:rPr>
        <w:t>附件1：安装、调试及验收标准</w:t>
      </w:r>
    </w:p>
    <w:p>
      <w:pPr>
        <w:pStyle w:val="8"/>
        <w:spacing w:before="0" w:beforeAutospacing="0" w:after="0" w:afterAutospacing="0" w:line="360" w:lineRule="auto"/>
        <w:rPr>
          <w:rFonts w:ascii="宋体" w:hAnsi="宋体" w:cs="宋体"/>
          <w:color w:val="000000"/>
          <w:sz w:val="24"/>
        </w:rPr>
      </w:pPr>
      <w:r>
        <w:rPr>
          <w:rFonts w:ascii="宋体" w:hAnsi="宋体" w:cs="宋体"/>
          <w:color w:val="000000"/>
          <w:sz w:val="24"/>
        </w:rPr>
        <w:t>合同号：</w:t>
      </w:r>
      <w:r>
        <w:rPr>
          <w:rFonts w:ascii="宋体" w:hAnsi="宋体" w:cs="宋体"/>
          <w:color w:val="000000"/>
          <w:sz w:val="24"/>
          <w:u w:val="single"/>
        </w:rPr>
        <w:t>        </w:t>
      </w:r>
    </w:p>
    <w:p>
      <w:pPr>
        <w:pStyle w:val="4"/>
        <w:numPr>
          <w:ilvl w:val="0"/>
          <w:numId w:val="19"/>
        </w:numPr>
        <w:spacing w:before="0" w:beforeAutospacing="0" w:after="0" w:afterAutospacing="0" w:line="360" w:lineRule="auto"/>
        <w:rPr>
          <w:rFonts w:ascii="宋体" w:hAnsi="宋体" w:cs="宋体"/>
          <w:color w:val="000000"/>
        </w:rPr>
      </w:pPr>
      <w:r>
        <w:rPr>
          <w:rFonts w:ascii="宋体" w:hAnsi="宋体" w:cs="宋体"/>
          <w:sz w:val="28"/>
        </w:rPr>
        <w:t>设备安装要求</w:t>
      </w:r>
    </w:p>
    <w:p>
      <w:pPr>
        <w:pStyle w:val="8"/>
        <w:spacing w:before="0" w:beforeAutospacing="0" w:after="0" w:afterAutospacing="0" w:line="360" w:lineRule="auto"/>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w:t>
      </w:r>
    </w:p>
    <w:p>
      <w:pPr>
        <w:pStyle w:val="4"/>
        <w:numPr>
          <w:ilvl w:val="0"/>
          <w:numId w:val="19"/>
        </w:numPr>
        <w:spacing w:before="0" w:beforeAutospacing="0" w:after="0" w:afterAutospacing="0" w:line="360" w:lineRule="auto"/>
        <w:rPr>
          <w:rFonts w:ascii="宋体" w:hAnsi="宋体" w:cs="宋体"/>
          <w:color w:val="000000"/>
        </w:rPr>
      </w:pPr>
      <w:r>
        <w:rPr>
          <w:rFonts w:ascii="宋体" w:hAnsi="宋体" w:cs="宋体"/>
          <w:sz w:val="28"/>
        </w:rPr>
        <w:t>设备调试要求</w:t>
      </w:r>
    </w:p>
    <w:p>
      <w:pPr>
        <w:pStyle w:val="8"/>
        <w:spacing w:before="0" w:beforeAutospacing="0" w:after="0" w:afterAutospacing="0" w:line="360" w:lineRule="auto"/>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w:t>
      </w:r>
    </w:p>
    <w:p>
      <w:pPr>
        <w:pStyle w:val="4"/>
        <w:numPr>
          <w:ilvl w:val="0"/>
          <w:numId w:val="19"/>
        </w:numPr>
        <w:spacing w:before="0" w:beforeAutospacing="0" w:after="0" w:afterAutospacing="0" w:line="360" w:lineRule="auto"/>
        <w:rPr>
          <w:rFonts w:ascii="宋体" w:hAnsi="宋体" w:cs="宋体"/>
          <w:color w:val="000000"/>
        </w:rPr>
      </w:pPr>
      <w:r>
        <w:rPr>
          <w:rFonts w:ascii="宋体" w:hAnsi="宋体" w:cs="宋体"/>
          <w:sz w:val="28"/>
        </w:rPr>
        <w:t>安装验收标准</w:t>
      </w:r>
    </w:p>
    <w:p>
      <w:pPr>
        <w:pStyle w:val="8"/>
        <w:spacing w:before="0" w:beforeAutospacing="0" w:after="0" w:afterAutospacing="0" w:line="360" w:lineRule="auto"/>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w:t>
      </w:r>
    </w:p>
    <w:p>
      <w:pPr>
        <w:pStyle w:val="8"/>
        <w:spacing w:before="0" w:beforeAutospacing="0" w:after="0" w:afterAutospacing="0" w:line="360" w:lineRule="auto"/>
        <w:rPr>
          <w:rFonts w:ascii="宋体" w:hAnsi="宋体" w:cs="宋体"/>
          <w:color w:val="000000"/>
          <w:sz w:val="24"/>
        </w:rPr>
      </w:pPr>
    </w:p>
    <w:p>
      <w:pPr>
        <w:pStyle w:val="3"/>
        <w:spacing w:before="0" w:beforeAutospacing="0" w:after="0" w:afterAutospacing="0" w:line="360" w:lineRule="auto"/>
        <w:rPr>
          <w:rFonts w:ascii="宋体" w:hAnsi="宋体" w:cs="宋体"/>
          <w:sz w:val="32"/>
        </w:rPr>
      </w:pPr>
    </w:p>
    <w:p>
      <w:pPr>
        <w:pStyle w:val="3"/>
        <w:spacing w:before="0" w:beforeAutospacing="0" w:after="0" w:afterAutospacing="0" w:line="360" w:lineRule="auto"/>
        <w:rPr>
          <w:rFonts w:ascii="宋体" w:hAnsi="宋体" w:cs="宋体"/>
          <w:sz w:val="32"/>
        </w:rPr>
      </w:pPr>
    </w:p>
    <w:p>
      <w:pPr>
        <w:pStyle w:val="3"/>
        <w:spacing w:before="0" w:beforeAutospacing="0" w:after="0" w:afterAutospacing="0" w:line="360" w:lineRule="auto"/>
        <w:rPr>
          <w:rFonts w:ascii="宋体" w:hAnsi="宋体" w:cs="宋体"/>
          <w:sz w:val="32"/>
        </w:rPr>
      </w:pPr>
    </w:p>
    <w:p>
      <w:pPr>
        <w:pStyle w:val="3"/>
        <w:spacing w:before="0" w:beforeAutospacing="0" w:after="0" w:afterAutospacing="0" w:line="360" w:lineRule="auto"/>
        <w:rPr>
          <w:rFonts w:ascii="宋体" w:hAnsi="宋体" w:cs="宋体"/>
          <w:sz w:val="32"/>
        </w:rPr>
      </w:pPr>
    </w:p>
    <w:p>
      <w:pPr>
        <w:pStyle w:val="3"/>
        <w:spacing w:before="0" w:beforeAutospacing="0" w:after="0" w:afterAutospacing="0" w:line="360" w:lineRule="auto"/>
        <w:rPr>
          <w:rFonts w:ascii="宋体" w:hAnsi="宋体" w:cs="宋体"/>
          <w:sz w:val="32"/>
        </w:rPr>
      </w:pPr>
    </w:p>
    <w:p>
      <w:pPr>
        <w:pStyle w:val="3"/>
        <w:spacing w:before="0" w:beforeAutospacing="0" w:after="0" w:afterAutospacing="0" w:line="360" w:lineRule="auto"/>
        <w:rPr>
          <w:rFonts w:ascii="宋体" w:hAnsi="宋体" w:cs="宋体"/>
          <w:sz w:val="32"/>
        </w:rPr>
      </w:pPr>
    </w:p>
    <w:p>
      <w:pPr>
        <w:pStyle w:val="3"/>
        <w:spacing w:before="0" w:beforeAutospacing="0" w:after="0" w:afterAutospacing="0" w:line="360" w:lineRule="auto"/>
        <w:rPr>
          <w:rFonts w:ascii="宋体" w:hAnsi="宋体" w:cs="宋体"/>
          <w:sz w:val="32"/>
        </w:rPr>
      </w:pPr>
    </w:p>
    <w:p>
      <w:pPr>
        <w:pStyle w:val="3"/>
        <w:spacing w:before="0" w:beforeAutospacing="0" w:after="0" w:afterAutospacing="0" w:line="360" w:lineRule="auto"/>
        <w:rPr>
          <w:rFonts w:ascii="宋体" w:hAnsi="宋体" w:cs="宋体"/>
          <w:sz w:val="32"/>
        </w:rPr>
      </w:pPr>
    </w:p>
    <w:p>
      <w:pPr>
        <w:pStyle w:val="3"/>
        <w:spacing w:before="0" w:beforeAutospacing="0" w:after="0" w:afterAutospacing="0" w:line="360" w:lineRule="auto"/>
        <w:rPr>
          <w:rFonts w:ascii="宋体" w:hAnsi="宋体" w:cs="宋体"/>
          <w:sz w:val="32"/>
        </w:rPr>
      </w:pPr>
    </w:p>
    <w:p>
      <w:pPr>
        <w:pStyle w:val="3"/>
        <w:spacing w:before="0" w:beforeAutospacing="0" w:after="0" w:afterAutospacing="0" w:line="360" w:lineRule="auto"/>
        <w:rPr>
          <w:rFonts w:ascii="宋体" w:hAnsi="宋体" w:cs="宋体"/>
          <w:sz w:val="32"/>
        </w:rPr>
      </w:pPr>
    </w:p>
    <w:p>
      <w:pPr>
        <w:pStyle w:val="3"/>
        <w:spacing w:before="0" w:beforeAutospacing="0" w:after="0" w:afterAutospacing="0" w:line="360" w:lineRule="auto"/>
        <w:rPr>
          <w:rFonts w:ascii="宋体" w:hAnsi="宋体" w:cs="宋体"/>
          <w:sz w:val="32"/>
        </w:rPr>
      </w:pPr>
    </w:p>
    <w:p>
      <w:pPr>
        <w:pStyle w:val="3"/>
        <w:spacing w:before="0" w:beforeAutospacing="0" w:after="0" w:afterAutospacing="0" w:line="360" w:lineRule="auto"/>
        <w:jc w:val="both"/>
        <w:rPr>
          <w:rFonts w:ascii="宋体" w:hAnsi="宋体" w:cs="宋体"/>
          <w:sz w:val="32"/>
        </w:rPr>
      </w:pPr>
    </w:p>
    <w:p>
      <w:pPr>
        <w:pStyle w:val="3"/>
        <w:spacing w:before="0" w:beforeAutospacing="0" w:after="0" w:afterAutospacing="0" w:line="360" w:lineRule="auto"/>
        <w:rPr>
          <w:rFonts w:ascii="宋体" w:hAnsi="宋体" w:cs="宋体"/>
          <w:sz w:val="32"/>
        </w:rPr>
      </w:pPr>
      <w:r>
        <w:rPr>
          <w:rFonts w:ascii="宋体" w:hAnsi="宋体" w:cs="宋体"/>
          <w:sz w:val="32"/>
        </w:rPr>
        <w:t>附件2：材料设备质量保修书</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r>
        <w:rPr>
          <w:rFonts w:hint="default" w:cs="宋体" w:asciiTheme="minorAscii" w:hAnsiTheme="minorAscii"/>
          <w:b/>
          <w:color w:val="000000"/>
          <w:sz w:val="24"/>
          <w:szCs w:val="24"/>
        </w:rPr>
        <w:t>甲方：</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r>
        <w:rPr>
          <w:rFonts w:hint="default" w:cs="宋体" w:asciiTheme="minorAscii" w:hAnsiTheme="minorAscii"/>
          <w:b/>
          <w:color w:val="000000"/>
          <w:sz w:val="24"/>
          <w:szCs w:val="24"/>
        </w:rPr>
        <w:t>乙方：</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r>
        <w:rPr>
          <w:rFonts w:hint="default" w:cs="宋体" w:asciiTheme="minorAscii" w:hAnsiTheme="minorAscii"/>
          <w:color w:val="000000"/>
          <w:sz w:val="24"/>
          <w:szCs w:val="24"/>
        </w:rPr>
        <w:t>为保证材料设备在合理使用期限内正常使用，甲乙双方协商一致签订材料设备质量保修书。乙方按双方约定承担材料设备质量保修责任。</w:t>
      </w:r>
    </w:p>
    <w:p>
      <w:pPr>
        <w:pStyle w:val="4"/>
        <w:keepNext w:val="0"/>
        <w:pageBreakBefore w:val="0"/>
        <w:widowControl/>
        <w:numPr>
          <w:ilvl w:val="0"/>
          <w:numId w:val="20"/>
        </w:numPr>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r>
        <w:rPr>
          <w:rFonts w:hint="default" w:cs="宋体" w:asciiTheme="minorAscii" w:hAnsiTheme="minorAscii"/>
          <w:sz w:val="24"/>
          <w:szCs w:val="24"/>
        </w:rPr>
        <w:t>保修期限</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r>
        <w:rPr>
          <w:rFonts w:hint="default" w:cs="宋体" w:asciiTheme="minorAscii" w:hAnsiTheme="minorAscii"/>
          <w:color w:val="000000"/>
          <w:sz w:val="24"/>
          <w:szCs w:val="24"/>
        </w:rPr>
        <w:t>不少于国家规定及本协议约定的保修时间，从   安装使用本产品的分部分项工程通过行业主管/垄断部门正式验收    之日算起。具体时间为 2年。</w:t>
      </w:r>
    </w:p>
    <w:p>
      <w:pPr>
        <w:pStyle w:val="4"/>
        <w:keepNext w:val="0"/>
        <w:pageBreakBefore w:val="0"/>
        <w:widowControl/>
        <w:numPr>
          <w:ilvl w:val="0"/>
          <w:numId w:val="20"/>
        </w:numPr>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r>
        <w:rPr>
          <w:rFonts w:hint="default" w:cs="宋体" w:asciiTheme="minorAscii" w:hAnsiTheme="minorAscii"/>
          <w:sz w:val="24"/>
          <w:szCs w:val="24"/>
        </w:rPr>
        <w:t>保修范围</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r>
        <w:rPr>
          <w:rFonts w:hint="default" w:cs="宋体" w:asciiTheme="minorAscii" w:hAnsiTheme="minorAscii"/>
          <w:color w:val="000000"/>
          <w:sz w:val="24"/>
          <w:szCs w:val="24"/>
        </w:rPr>
        <w:t>本协议结算款所包含的项目、甲乙双方其他约定等全部内容，由于乙方原因造成的质量问题，均属乙方保修范围，因此造成甲方和业主的全部损失，均由乙方负责。属甲方设计或使用不当等造成的工程质量问题，乙方给予返修，返修费用由甲方承担。</w:t>
      </w:r>
    </w:p>
    <w:p>
      <w:pPr>
        <w:pStyle w:val="4"/>
        <w:keepNext w:val="0"/>
        <w:pageBreakBefore w:val="0"/>
        <w:widowControl/>
        <w:numPr>
          <w:ilvl w:val="0"/>
          <w:numId w:val="20"/>
        </w:numPr>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r>
        <w:rPr>
          <w:rFonts w:hint="default" w:cs="宋体" w:asciiTheme="minorAscii" w:hAnsiTheme="minorAscii"/>
          <w:sz w:val="24"/>
          <w:szCs w:val="24"/>
        </w:rPr>
        <w:t>保修实施</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r>
        <w:rPr>
          <w:rFonts w:hint="default" w:cs="宋体" w:asciiTheme="minorAscii" w:hAnsiTheme="minorAscii"/>
          <w:color w:val="000000"/>
          <w:sz w:val="24"/>
          <w:szCs w:val="24"/>
        </w:rPr>
        <w:t>工程竣工验收合格后，本工程移交给发包人管理。甲方负责本工程保修期内返修工作的统一协调管理，乙方就工程质量保修向甲方负责，工程保修款由甲方代表乙方与发包人进行结算。同时，甲方保留根据相关法律法规就有关工程质量问题追究乙方质量责任的权利。</w:t>
      </w:r>
    </w:p>
    <w:p>
      <w:pPr>
        <w:pStyle w:val="4"/>
        <w:keepNext w:val="0"/>
        <w:pageBreakBefore w:val="0"/>
        <w:widowControl/>
        <w:numPr>
          <w:ilvl w:val="0"/>
          <w:numId w:val="20"/>
        </w:numPr>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r>
        <w:rPr>
          <w:rFonts w:hint="default" w:cs="宋体" w:asciiTheme="minorAscii" w:hAnsiTheme="minorAscii"/>
          <w:sz w:val="24"/>
          <w:szCs w:val="24"/>
        </w:rPr>
        <w:t>保修的时间性</w:t>
      </w:r>
    </w:p>
    <w:p>
      <w:pPr>
        <w:pStyle w:val="8"/>
        <w:keepNext w:val="0"/>
        <w:pageBreakBefore w:val="0"/>
        <w:widowControl/>
        <w:numPr>
          <w:ilvl w:val="1"/>
          <w:numId w:val="21"/>
        </w:numPr>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r>
        <w:rPr>
          <w:rFonts w:hint="default" w:cs="宋体" w:asciiTheme="minorAscii" w:hAnsiTheme="minorAscii"/>
          <w:color w:val="000000"/>
          <w:sz w:val="24"/>
          <w:szCs w:val="24"/>
        </w:rPr>
        <w:t>发生须紧急抢修事故如渗水、漏水、给排水、行业主管/垄断设施及线路出现故障等影响业主正常生活的情况下，乙方须在甲方通知后4小时内赶到现场并于6小时内完成维修。</w:t>
      </w:r>
    </w:p>
    <w:p>
      <w:pPr>
        <w:pStyle w:val="8"/>
        <w:keepNext w:val="0"/>
        <w:pageBreakBefore w:val="0"/>
        <w:widowControl/>
        <w:numPr>
          <w:ilvl w:val="1"/>
          <w:numId w:val="21"/>
        </w:numPr>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r>
        <w:rPr>
          <w:rFonts w:hint="default" w:cs="宋体" w:asciiTheme="minorAscii" w:hAnsiTheme="minorAscii"/>
          <w:color w:val="000000"/>
          <w:sz w:val="24"/>
          <w:szCs w:val="24"/>
        </w:rPr>
        <w:t>属于保修范围和内容的项目，乙方须在甲方通知后24小时内赶到现场查看情况，无须更换的，在查看情况后48小时内处理完毕并清理维修现场，作到工完场清。须更换的，由乙方提出时间表并在得到甲方或委托人认可后严格按时间表维修，其余不变。</w:t>
      </w:r>
    </w:p>
    <w:p>
      <w:pPr>
        <w:pStyle w:val="8"/>
        <w:keepNext w:val="0"/>
        <w:pageBreakBefore w:val="0"/>
        <w:widowControl/>
        <w:numPr>
          <w:ilvl w:val="1"/>
          <w:numId w:val="21"/>
        </w:numPr>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r>
        <w:rPr>
          <w:rFonts w:hint="default" w:cs="宋体" w:asciiTheme="minorAscii" w:hAnsiTheme="minorAscii"/>
          <w:color w:val="000000"/>
          <w:sz w:val="24"/>
          <w:szCs w:val="24"/>
        </w:rPr>
        <w:t>每个维修项目完成后，经业主、发包人和甲方代表验收并签字后，方为该维修项目本次维修完毕。</w:t>
      </w:r>
    </w:p>
    <w:p>
      <w:pPr>
        <w:pStyle w:val="8"/>
        <w:keepNext w:val="0"/>
        <w:pageBreakBefore w:val="0"/>
        <w:widowControl/>
        <w:numPr>
          <w:ilvl w:val="1"/>
          <w:numId w:val="21"/>
        </w:numPr>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r>
        <w:rPr>
          <w:rFonts w:hint="default" w:cs="宋体" w:asciiTheme="minorAscii" w:hAnsiTheme="minorAscii"/>
          <w:color w:val="000000"/>
          <w:sz w:val="24"/>
          <w:szCs w:val="24"/>
        </w:rPr>
        <w:t>违反以上规定，视为乙方同意由甲方处理，甲方委派他方处理，处理结果由用户、发包人、甲方签字认可后即生效，不再经由乙方确认（甲方将处理情况知会乙方），因此所发生的一切费用从乙方保修款中扣除，但不免除乙方的任何应付责任。</w:t>
      </w:r>
    </w:p>
    <w:p>
      <w:pPr>
        <w:pStyle w:val="8"/>
        <w:keepNext w:val="0"/>
        <w:pageBreakBefore w:val="0"/>
        <w:widowControl/>
        <w:numPr>
          <w:ilvl w:val="1"/>
          <w:numId w:val="21"/>
        </w:numPr>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r>
        <w:rPr>
          <w:rFonts w:hint="default" w:cs="宋体" w:asciiTheme="minorAscii" w:hAnsiTheme="minorAscii"/>
          <w:color w:val="000000"/>
          <w:sz w:val="24"/>
          <w:szCs w:val="24"/>
        </w:rPr>
        <w:t>乙方承诺，无论以上质量缺陷属乙方、甲方或业主责任，在接到通知后，均遵守上述时间性要求不问理由地进行维修，并在维修过程中与甲方及业主共同取证，以判断责任原因，不属乙方责任的，由责任方向乙方支付材料及人工费用。</w:t>
      </w:r>
    </w:p>
    <w:p>
      <w:pPr>
        <w:pStyle w:val="4"/>
        <w:keepNext w:val="0"/>
        <w:pageBreakBefore w:val="0"/>
        <w:widowControl/>
        <w:numPr>
          <w:ilvl w:val="0"/>
          <w:numId w:val="22"/>
        </w:numPr>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r>
        <w:rPr>
          <w:rFonts w:hint="default" w:cs="宋体" w:asciiTheme="minorAscii" w:hAnsiTheme="minorAscii"/>
          <w:sz w:val="24"/>
          <w:szCs w:val="24"/>
        </w:rPr>
        <w:t>维修质量保障措施</w:t>
      </w:r>
    </w:p>
    <w:p>
      <w:pPr>
        <w:pStyle w:val="8"/>
        <w:keepNext w:val="0"/>
        <w:pageBreakBefore w:val="0"/>
        <w:widowControl/>
        <w:numPr>
          <w:ilvl w:val="1"/>
          <w:numId w:val="23"/>
        </w:numPr>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r>
        <w:rPr>
          <w:rFonts w:hint="default" w:cs="宋体" w:asciiTheme="minorAscii" w:hAnsiTheme="minorAscii"/>
          <w:color w:val="000000"/>
          <w:sz w:val="24"/>
          <w:szCs w:val="24"/>
        </w:rPr>
        <w:t>每个维修项目完成后要经业主、发包人和甲方验收签字方可，所维修项目的保修期限由维修合格之日起重新计算，工程保修款的支付按以下第七条第1款约定办理。</w:t>
      </w:r>
    </w:p>
    <w:p>
      <w:pPr>
        <w:pStyle w:val="8"/>
        <w:keepNext w:val="0"/>
        <w:pageBreakBefore w:val="0"/>
        <w:widowControl/>
        <w:numPr>
          <w:ilvl w:val="1"/>
          <w:numId w:val="23"/>
        </w:numPr>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r>
        <w:rPr>
          <w:rFonts w:hint="default" w:cs="宋体" w:asciiTheme="minorAscii" w:hAnsiTheme="minorAscii"/>
          <w:color w:val="000000"/>
          <w:sz w:val="24"/>
          <w:szCs w:val="24"/>
        </w:rPr>
        <w:t>因质量问题乙方维修一次后，六个月内同一部位再出现类似问题，乙方除按协议再次进行维修外，乙方每次每项还需向甲方支付违约金壹仟元。</w:t>
      </w:r>
    </w:p>
    <w:p>
      <w:pPr>
        <w:pStyle w:val="8"/>
        <w:keepNext w:val="0"/>
        <w:pageBreakBefore w:val="0"/>
        <w:widowControl/>
        <w:numPr>
          <w:ilvl w:val="1"/>
          <w:numId w:val="23"/>
        </w:numPr>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r>
        <w:rPr>
          <w:rFonts w:hint="default" w:cs="宋体" w:asciiTheme="minorAscii" w:hAnsiTheme="minorAscii"/>
          <w:color w:val="000000"/>
          <w:sz w:val="24"/>
          <w:szCs w:val="24"/>
        </w:rPr>
        <w:t>维修工作完成后，乙方负责将施工现场清理干净（维修过程中给业主造成的损失由乙方负责），否则每人次乙方支付违约金伍佰元。</w:t>
      </w:r>
    </w:p>
    <w:p>
      <w:pPr>
        <w:pStyle w:val="8"/>
        <w:keepNext w:val="0"/>
        <w:pageBreakBefore w:val="0"/>
        <w:widowControl/>
        <w:numPr>
          <w:ilvl w:val="1"/>
          <w:numId w:val="23"/>
        </w:numPr>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r>
        <w:rPr>
          <w:rFonts w:hint="default" w:cs="宋体" w:asciiTheme="minorAscii" w:hAnsiTheme="minorAscii"/>
          <w:color w:val="000000"/>
          <w:sz w:val="24"/>
          <w:szCs w:val="24"/>
        </w:rPr>
        <w:t>维修人员应按甲方制定的维修程序进行维修，服从发包人客户服务中心的管理，服从业主的监督，统一着装、文明施工、文明用语，不得与业主发生任何争执，否则每人次乙方支付违约金伍佰元</w:t>
      </w:r>
    </w:p>
    <w:p>
      <w:pPr>
        <w:pStyle w:val="8"/>
        <w:keepNext w:val="0"/>
        <w:pageBreakBefore w:val="0"/>
        <w:widowControl/>
        <w:numPr>
          <w:ilvl w:val="1"/>
          <w:numId w:val="23"/>
        </w:numPr>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r>
        <w:rPr>
          <w:rFonts w:hint="default" w:cs="宋体" w:asciiTheme="minorAscii" w:hAnsiTheme="minorAscii"/>
          <w:color w:val="000000"/>
          <w:sz w:val="24"/>
          <w:szCs w:val="24"/>
        </w:rPr>
        <w:t>如有下列情况之一发生，甲方有权另行聘请施工单位进行维修，由此引起的一切费用和责任由乙方承担。</w:t>
      </w:r>
    </w:p>
    <w:p>
      <w:pPr>
        <w:pStyle w:val="8"/>
        <w:keepNext w:val="0"/>
        <w:pageBreakBefore w:val="0"/>
        <w:widowControl/>
        <w:numPr>
          <w:ilvl w:val="2"/>
          <w:numId w:val="23"/>
        </w:numPr>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r>
        <w:rPr>
          <w:rFonts w:hint="default" w:cs="宋体" w:asciiTheme="minorAscii" w:hAnsiTheme="minorAscii"/>
          <w:color w:val="000000"/>
          <w:sz w:val="24"/>
          <w:szCs w:val="24"/>
        </w:rPr>
        <w:t>接到甲方返修通知（口头或书面）后拒不到现场处理问题；</w:t>
      </w:r>
    </w:p>
    <w:p>
      <w:pPr>
        <w:pStyle w:val="8"/>
        <w:keepNext w:val="0"/>
        <w:pageBreakBefore w:val="0"/>
        <w:widowControl/>
        <w:numPr>
          <w:ilvl w:val="2"/>
          <w:numId w:val="23"/>
        </w:numPr>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r>
        <w:rPr>
          <w:rFonts w:hint="default" w:cs="宋体" w:asciiTheme="minorAscii" w:hAnsiTheme="minorAscii"/>
          <w:color w:val="000000"/>
          <w:sz w:val="24"/>
          <w:szCs w:val="24"/>
        </w:rPr>
        <w:t>超过规定的到场时间后4小时仍未赶到现场；</w:t>
      </w:r>
    </w:p>
    <w:p>
      <w:pPr>
        <w:pStyle w:val="8"/>
        <w:keepNext w:val="0"/>
        <w:pageBreakBefore w:val="0"/>
        <w:widowControl/>
        <w:numPr>
          <w:ilvl w:val="2"/>
          <w:numId w:val="23"/>
        </w:numPr>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r>
        <w:rPr>
          <w:rFonts w:hint="default" w:cs="宋体" w:asciiTheme="minorAscii" w:hAnsiTheme="minorAscii"/>
          <w:color w:val="000000"/>
          <w:sz w:val="24"/>
          <w:szCs w:val="24"/>
        </w:rPr>
        <w:t>超过规定的时间仍未完成有关工程返修任务，且不主动向甲方报告；</w:t>
      </w:r>
    </w:p>
    <w:p>
      <w:pPr>
        <w:pStyle w:val="8"/>
        <w:keepNext w:val="0"/>
        <w:pageBreakBefore w:val="0"/>
        <w:widowControl/>
        <w:numPr>
          <w:ilvl w:val="2"/>
          <w:numId w:val="23"/>
        </w:numPr>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r>
        <w:rPr>
          <w:rFonts w:hint="default" w:cs="宋体" w:asciiTheme="minorAscii" w:hAnsiTheme="minorAscii"/>
          <w:color w:val="000000"/>
          <w:sz w:val="24"/>
          <w:szCs w:val="24"/>
        </w:rPr>
        <w:t>对同一位置经过一次返修仍未彻底解决问题；</w:t>
      </w:r>
    </w:p>
    <w:p>
      <w:pPr>
        <w:pStyle w:val="8"/>
        <w:keepNext w:val="0"/>
        <w:pageBreakBefore w:val="0"/>
        <w:widowControl/>
        <w:numPr>
          <w:ilvl w:val="2"/>
          <w:numId w:val="23"/>
        </w:numPr>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r>
        <w:rPr>
          <w:rFonts w:hint="default" w:cs="宋体" w:asciiTheme="minorAscii" w:hAnsiTheme="minorAscii"/>
          <w:color w:val="000000"/>
          <w:sz w:val="24"/>
          <w:szCs w:val="24"/>
        </w:rPr>
        <w:t>因现场返修人员服务行为造成业主强烈投诉。</w:t>
      </w:r>
    </w:p>
    <w:p>
      <w:pPr>
        <w:pStyle w:val="4"/>
        <w:keepNext w:val="0"/>
        <w:pageBreakBefore w:val="0"/>
        <w:widowControl/>
        <w:numPr>
          <w:ilvl w:val="0"/>
          <w:numId w:val="24"/>
        </w:numPr>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r>
        <w:rPr>
          <w:rFonts w:hint="default" w:cs="宋体" w:asciiTheme="minorAscii" w:hAnsiTheme="minorAscii"/>
          <w:sz w:val="24"/>
          <w:szCs w:val="24"/>
        </w:rPr>
        <w:t>乙方维修安排：</w:t>
      </w:r>
    </w:p>
    <w:p>
      <w:pPr>
        <w:pStyle w:val="8"/>
        <w:keepNext w:val="0"/>
        <w:pageBreakBefore w:val="0"/>
        <w:widowControl/>
        <w:numPr>
          <w:ilvl w:val="1"/>
          <w:numId w:val="25"/>
        </w:numPr>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r>
        <w:rPr>
          <w:rFonts w:hint="default" w:cs="宋体" w:asciiTheme="minorAscii" w:hAnsiTheme="minorAscii"/>
          <w:color w:val="000000"/>
          <w:sz w:val="24"/>
          <w:szCs w:val="24"/>
        </w:rPr>
        <w:t>乙方必须委派全权代表处理本工程的维修工作。</w:t>
      </w:r>
    </w:p>
    <w:p>
      <w:pPr>
        <w:pStyle w:val="8"/>
        <w:keepNext w:val="0"/>
        <w:pageBreakBefore w:val="0"/>
        <w:widowControl/>
        <w:numPr>
          <w:ilvl w:val="1"/>
          <w:numId w:val="25"/>
        </w:numPr>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r>
        <w:rPr>
          <w:rFonts w:hint="default" w:cs="宋体" w:asciiTheme="minorAscii" w:hAnsiTheme="minorAscii"/>
          <w:color w:val="000000"/>
          <w:sz w:val="24"/>
          <w:szCs w:val="24"/>
        </w:rPr>
        <w:t>乙方保修负责人：</w:t>
      </w:r>
      <w:r>
        <w:rPr>
          <w:rFonts w:hint="default" w:cs="宋体" w:asciiTheme="minorAscii" w:hAnsiTheme="minorAscii"/>
          <w:color w:val="000000"/>
          <w:sz w:val="24"/>
          <w:szCs w:val="24"/>
          <w:u w:val="single"/>
        </w:rPr>
        <w:t>        </w:t>
      </w:r>
      <w:r>
        <w:rPr>
          <w:rFonts w:hint="default" w:cs="宋体" w:asciiTheme="minorAscii" w:hAnsiTheme="minorAscii"/>
          <w:color w:val="000000"/>
          <w:sz w:val="24"/>
          <w:szCs w:val="24"/>
        </w:rPr>
        <w:t>；电话：</w:t>
      </w:r>
      <w:r>
        <w:rPr>
          <w:rFonts w:hint="default" w:cs="宋体" w:asciiTheme="minorAscii" w:hAnsiTheme="minorAscii"/>
          <w:color w:val="000000"/>
          <w:sz w:val="24"/>
          <w:szCs w:val="24"/>
          <w:u w:val="single"/>
        </w:rPr>
        <w:t>        </w:t>
      </w:r>
      <w:r>
        <w:rPr>
          <w:rFonts w:hint="default" w:cs="宋体" w:asciiTheme="minorAscii" w:hAnsiTheme="minorAscii"/>
          <w:color w:val="000000"/>
          <w:sz w:val="24"/>
          <w:szCs w:val="24"/>
        </w:rPr>
        <w:t>；通讯地址</w:t>
      </w:r>
      <w:r>
        <w:rPr>
          <w:rFonts w:hint="default" w:cs="宋体" w:asciiTheme="minorAscii" w:hAnsiTheme="minorAscii"/>
          <w:color w:val="000000"/>
          <w:sz w:val="24"/>
          <w:szCs w:val="24"/>
          <w:u w:val="single"/>
        </w:rPr>
        <w:t>        </w:t>
      </w:r>
      <w:r>
        <w:rPr>
          <w:rFonts w:hint="default" w:cs="宋体" w:asciiTheme="minorAscii" w:hAnsiTheme="minorAscii"/>
          <w:color w:val="000000"/>
          <w:sz w:val="24"/>
          <w:szCs w:val="24"/>
        </w:rPr>
        <w:t>；传真</w:t>
      </w:r>
      <w:r>
        <w:rPr>
          <w:rFonts w:hint="default" w:cs="宋体" w:asciiTheme="minorAscii" w:hAnsiTheme="minorAscii"/>
          <w:color w:val="000000"/>
          <w:sz w:val="24"/>
          <w:szCs w:val="24"/>
          <w:u w:val="single"/>
        </w:rPr>
        <w:t>        </w:t>
      </w:r>
      <w:r>
        <w:rPr>
          <w:rFonts w:hint="default" w:cs="宋体" w:asciiTheme="minorAscii" w:hAnsiTheme="minorAscii"/>
          <w:color w:val="000000"/>
          <w:sz w:val="24"/>
          <w:szCs w:val="24"/>
        </w:rPr>
        <w:t>。</w:t>
      </w:r>
    </w:p>
    <w:p>
      <w:pPr>
        <w:pStyle w:val="8"/>
        <w:keepNext w:val="0"/>
        <w:pageBreakBefore w:val="0"/>
        <w:widowControl/>
        <w:numPr>
          <w:ilvl w:val="1"/>
          <w:numId w:val="25"/>
        </w:numPr>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r>
        <w:rPr>
          <w:rFonts w:hint="default" w:cs="宋体" w:asciiTheme="minorAscii" w:hAnsiTheme="minorAscii"/>
          <w:color w:val="000000"/>
          <w:sz w:val="24"/>
          <w:szCs w:val="24"/>
        </w:rPr>
        <w:t>以上内容若有变动需及时书面知会甲方维修负责人，否则无法联系时，视为乙方已收到甲方传达之信息。</w:t>
      </w:r>
    </w:p>
    <w:p>
      <w:pPr>
        <w:pStyle w:val="4"/>
        <w:keepNext w:val="0"/>
        <w:pageBreakBefore w:val="0"/>
        <w:widowControl/>
        <w:numPr>
          <w:ilvl w:val="0"/>
          <w:numId w:val="26"/>
        </w:numPr>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r>
        <w:rPr>
          <w:rFonts w:hint="default" w:cs="宋体" w:asciiTheme="minorAscii" w:hAnsiTheme="minorAscii"/>
          <w:sz w:val="24"/>
          <w:szCs w:val="24"/>
        </w:rPr>
        <w:t>保修款：</w:t>
      </w:r>
    </w:p>
    <w:p>
      <w:pPr>
        <w:pStyle w:val="8"/>
        <w:keepNext w:val="0"/>
        <w:pageBreakBefore w:val="0"/>
        <w:widowControl/>
        <w:numPr>
          <w:ilvl w:val="1"/>
          <w:numId w:val="27"/>
        </w:numPr>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r>
        <w:rPr>
          <w:rFonts w:hint="default" w:cs="宋体" w:asciiTheme="minorAscii" w:hAnsiTheme="minorAscii"/>
          <w:color w:val="000000"/>
          <w:sz w:val="24"/>
          <w:szCs w:val="24"/>
        </w:rPr>
        <w:t>甲乙双方同意从乙方的3%合同结算款为保修款，保修期满后（不含顺延的保修期），在乙方已完成全部保修工作后（需物业公司、发包人、甲方签字认可），甲方在二十天内将余款一次性支付给乙方。凡与防水有关的保修项（如屋面、外墙、厨房卫生间、地下室等），即使保修款按上述方式支付完毕，亦不能免除乙方防水保修5年的责任。</w:t>
      </w:r>
    </w:p>
    <w:p>
      <w:pPr>
        <w:pStyle w:val="8"/>
        <w:keepNext w:val="0"/>
        <w:pageBreakBefore w:val="0"/>
        <w:widowControl/>
        <w:numPr>
          <w:ilvl w:val="1"/>
          <w:numId w:val="27"/>
        </w:numPr>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r>
        <w:rPr>
          <w:rFonts w:hint="default" w:cs="宋体" w:asciiTheme="minorAscii" w:hAnsiTheme="minorAscii"/>
          <w:color w:val="000000"/>
          <w:sz w:val="24"/>
          <w:szCs w:val="24"/>
        </w:rPr>
        <w:t>若甲方垫付维修费用超出保修款总额，超出部分仍由乙方支付；所有保修款在结算时均不计利息。乙方不愿支付超额部分的，甲方有权由应支付乙方的其他任何费用中扣除，仍不够的，以法律手段追回。</w:t>
      </w:r>
    </w:p>
    <w:p>
      <w:pPr>
        <w:pStyle w:val="4"/>
        <w:keepNext w:val="0"/>
        <w:pageBreakBefore w:val="0"/>
        <w:widowControl/>
        <w:numPr>
          <w:ilvl w:val="0"/>
          <w:numId w:val="28"/>
        </w:numPr>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r>
        <w:rPr>
          <w:rFonts w:hint="default" w:cs="宋体" w:asciiTheme="minorAscii" w:hAnsiTheme="minorAscii"/>
          <w:sz w:val="24"/>
          <w:szCs w:val="24"/>
        </w:rPr>
        <w:t>其他</w:t>
      </w:r>
    </w:p>
    <w:p>
      <w:pPr>
        <w:pStyle w:val="8"/>
        <w:keepNext w:val="0"/>
        <w:pageBreakBefore w:val="0"/>
        <w:widowControl/>
        <w:numPr>
          <w:ilvl w:val="1"/>
          <w:numId w:val="29"/>
        </w:numPr>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r>
        <w:rPr>
          <w:rFonts w:hint="default" w:cs="宋体" w:asciiTheme="minorAscii" w:hAnsiTheme="minorAscii"/>
          <w:color w:val="000000"/>
          <w:sz w:val="24"/>
          <w:szCs w:val="24"/>
        </w:rPr>
        <w:t>本产品在正常使用情况下的有效寿命为</w:t>
      </w:r>
      <w:r>
        <w:rPr>
          <w:rFonts w:hint="default" w:cs="宋体" w:asciiTheme="minorAscii" w:hAnsiTheme="minorAscii"/>
          <w:color w:val="000000"/>
          <w:sz w:val="24"/>
          <w:szCs w:val="24"/>
          <w:u w:val="single"/>
        </w:rPr>
        <w:t>        </w:t>
      </w:r>
      <w:r>
        <w:rPr>
          <w:rFonts w:hint="default" w:cs="宋体" w:asciiTheme="minorAscii" w:hAnsiTheme="minorAscii"/>
          <w:color w:val="000000"/>
          <w:sz w:val="24"/>
          <w:szCs w:val="24"/>
        </w:rPr>
        <w:t>年，乙方同意在免费保修期满后至该产品有效寿命年限内，继续提供维修服务。如因使用不当或其他人为因素造成产品无法正常使用，乙方将给予维修并按成本价收取费用；如属产品本身质量原因造成无法正常使用，乙方将免费给予维修或更换。</w:t>
      </w:r>
    </w:p>
    <w:p>
      <w:pPr>
        <w:pStyle w:val="8"/>
        <w:keepNext w:val="0"/>
        <w:pageBreakBefore w:val="0"/>
        <w:widowControl/>
        <w:numPr>
          <w:ilvl w:val="1"/>
          <w:numId w:val="29"/>
        </w:numPr>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r>
        <w:rPr>
          <w:rFonts w:hint="default" w:cs="宋体" w:asciiTheme="minorAscii" w:hAnsiTheme="minorAscii"/>
          <w:color w:val="000000"/>
          <w:sz w:val="24"/>
          <w:szCs w:val="24"/>
        </w:rPr>
        <w:t>本保修书：作为本合同附件，由本合同双方共同签署，在材料设备有效寿命内一直生效。</w:t>
      </w:r>
    </w:p>
    <w:p>
      <w:pPr>
        <w:pStyle w:val="8"/>
        <w:keepNext w:val="0"/>
        <w:pageBreakBefore w:val="0"/>
        <w:widowControl/>
        <w:numPr>
          <w:ilvl w:val="1"/>
          <w:numId w:val="29"/>
        </w:numPr>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r>
        <w:rPr>
          <w:rFonts w:hint="default" w:cs="宋体" w:asciiTheme="minorAscii" w:hAnsiTheme="minorAscii"/>
          <w:color w:val="000000"/>
          <w:sz w:val="24"/>
          <w:szCs w:val="24"/>
        </w:rPr>
        <w:t>本保修书中业主指购买、租用及使用本项目房屋的客户。</w:t>
      </w:r>
    </w:p>
    <w:p>
      <w:pPr>
        <w:pStyle w:val="8"/>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r>
        <w:rPr>
          <w:rFonts w:hint="default" w:cs="宋体" w:asciiTheme="minorAscii" w:hAnsiTheme="minorAscii"/>
          <w:color w:val="000000"/>
          <w:sz w:val="24"/>
          <w:szCs w:val="24"/>
        </w:rPr>
        <w:t>甲方：</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r>
        <w:rPr>
          <w:rFonts w:hint="default" w:cs="宋体" w:asciiTheme="minorAscii" w:hAnsiTheme="minorAscii"/>
          <w:color w:val="000000"/>
          <w:sz w:val="24"/>
          <w:szCs w:val="24"/>
        </w:rPr>
        <w:t>代表：</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r>
        <w:rPr>
          <w:rFonts w:hint="default" w:cs="宋体" w:asciiTheme="minorAscii" w:hAnsiTheme="minorAscii"/>
          <w:color w:val="000000"/>
          <w:sz w:val="24"/>
          <w:szCs w:val="24"/>
        </w:rPr>
        <w:t>甲方：</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r>
        <w:rPr>
          <w:rFonts w:hint="default" w:cs="宋体" w:asciiTheme="minorAscii" w:hAnsiTheme="minorAscii"/>
          <w:color w:val="000000"/>
          <w:sz w:val="24"/>
          <w:szCs w:val="24"/>
        </w:rPr>
        <w:t>代表</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default" w:cs="宋体" w:asciiTheme="minorAscii" w:hAnsiTheme="minorAscii"/>
          <w:color w:val="000000"/>
          <w:sz w:val="24"/>
          <w:szCs w:val="24"/>
        </w:rPr>
      </w:pPr>
      <w:r>
        <w:rPr>
          <w:rFonts w:hint="default" w:cs="宋体" w:asciiTheme="minorAscii" w:hAnsiTheme="minorAscii"/>
          <w:color w:val="000000"/>
          <w:sz w:val="24"/>
          <w:szCs w:val="24"/>
        </w:rPr>
        <w:t>本保修书于：    年    月    日签署</w:t>
      </w:r>
    </w:p>
    <w:p>
      <w:pPr>
        <w:pStyle w:val="8"/>
        <w:spacing w:before="0" w:beforeAutospacing="0" w:after="0" w:afterAutospacing="0" w:line="360" w:lineRule="auto"/>
        <w:rPr>
          <w:rFonts w:ascii="宋体" w:hAnsi="宋体" w:cs="宋体"/>
          <w:color w:val="000000"/>
          <w:sz w:val="24"/>
        </w:rPr>
      </w:pPr>
    </w:p>
    <w:p>
      <w:pPr>
        <w:pStyle w:val="3"/>
        <w:spacing w:before="0" w:beforeAutospacing="0" w:after="0" w:afterAutospacing="0" w:line="360" w:lineRule="auto"/>
        <w:rPr>
          <w:rFonts w:ascii="宋体" w:hAnsi="宋体" w:cs="宋体"/>
          <w:sz w:val="32"/>
        </w:rPr>
      </w:pPr>
    </w:p>
    <w:p>
      <w:pPr>
        <w:pStyle w:val="3"/>
        <w:spacing w:before="0" w:beforeAutospacing="0" w:after="0" w:afterAutospacing="0" w:line="360" w:lineRule="auto"/>
        <w:rPr>
          <w:rFonts w:ascii="宋体" w:hAnsi="宋体" w:cs="宋体"/>
          <w:sz w:val="32"/>
        </w:rPr>
      </w:pPr>
      <w:r>
        <w:rPr>
          <w:rFonts w:ascii="宋体" w:hAnsi="宋体" w:cs="宋体"/>
          <w:sz w:val="32"/>
        </w:rPr>
        <w:t>附件3：设备及其零部件质量标准及技术规范</w:t>
      </w:r>
    </w:p>
    <w:p>
      <w:pPr>
        <w:pStyle w:val="8"/>
        <w:spacing w:before="0" w:beforeAutospacing="0" w:after="0" w:afterAutospacing="0" w:line="360" w:lineRule="auto"/>
        <w:rPr>
          <w:rFonts w:ascii="宋体" w:hAnsi="宋体" w:cs="宋体"/>
          <w:color w:val="000000"/>
          <w:sz w:val="24"/>
        </w:rPr>
      </w:pPr>
      <w:r>
        <w:rPr>
          <w:rFonts w:ascii="宋体" w:hAnsi="宋体" w:cs="宋体"/>
          <w:color w:val="000000"/>
          <w:sz w:val="24"/>
        </w:rPr>
        <w:t>合同号：</w:t>
      </w:r>
      <w:r>
        <w:rPr>
          <w:rFonts w:ascii="宋体" w:hAnsi="宋体" w:cs="宋体"/>
          <w:color w:val="000000"/>
          <w:sz w:val="24"/>
          <w:u w:val="single"/>
        </w:rPr>
        <w:t>        </w:t>
      </w:r>
    </w:p>
    <w:p>
      <w:pPr>
        <w:pStyle w:val="8"/>
        <w:spacing w:before="0" w:beforeAutospacing="0" w:after="0" w:afterAutospacing="0" w:line="360" w:lineRule="auto"/>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w:t>
      </w:r>
    </w:p>
    <w:p>
      <w:pPr>
        <w:pStyle w:val="8"/>
        <w:spacing w:before="0" w:beforeAutospacing="0" w:after="0" w:afterAutospacing="0" w:line="360" w:lineRule="auto"/>
        <w:rPr>
          <w:rFonts w:ascii="宋体" w:hAnsi="宋体" w:cs="宋体"/>
          <w:color w:val="000000"/>
          <w:sz w:val="24"/>
        </w:rPr>
      </w:pPr>
    </w:p>
    <w:p>
      <w:pPr>
        <w:pStyle w:val="3"/>
        <w:spacing w:before="0" w:beforeAutospacing="0" w:after="0" w:afterAutospacing="0" w:line="360" w:lineRule="auto"/>
        <w:rPr>
          <w:rFonts w:ascii="宋体" w:hAnsi="宋体" w:cs="宋体"/>
          <w:sz w:val="32"/>
        </w:rPr>
      </w:pPr>
      <w:r>
        <w:rPr>
          <w:rFonts w:ascii="宋体" w:hAnsi="宋体" w:cs="宋体"/>
          <w:sz w:val="32"/>
        </w:rPr>
        <w:t>附件4：设备到货签收单</w:t>
      </w:r>
    </w:p>
    <w:p>
      <w:pPr>
        <w:pStyle w:val="8"/>
        <w:spacing w:before="0" w:beforeAutospacing="0" w:after="0" w:afterAutospacing="0" w:line="360" w:lineRule="auto"/>
        <w:rPr>
          <w:rFonts w:ascii="宋体" w:hAnsi="宋体" w:cs="宋体"/>
          <w:color w:val="000000"/>
          <w:sz w:val="24"/>
        </w:rPr>
      </w:pPr>
      <w:r>
        <w:rPr>
          <w:rFonts w:ascii="宋体" w:hAnsi="宋体" w:cs="宋体"/>
          <w:color w:val="000000"/>
          <w:sz w:val="24"/>
        </w:rPr>
        <w:t>合同号：</w:t>
      </w:r>
      <w:r>
        <w:rPr>
          <w:rFonts w:ascii="宋体" w:hAnsi="宋体" w:cs="宋体"/>
          <w:color w:val="000000"/>
          <w:sz w:val="24"/>
          <w:u w:val="single"/>
        </w:rPr>
        <w:t>        </w:t>
      </w:r>
    </w:p>
    <w:tbl>
      <w:tblPr>
        <w:tblStyle w:val="9"/>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2156"/>
        <w:gridCol w:w="868"/>
        <w:gridCol w:w="1332"/>
        <w:gridCol w:w="899"/>
        <w:gridCol w:w="2536"/>
        <w:gridCol w:w="86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gridSpan w:val="6"/>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设备到货签收单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r>
              <w:rPr>
                <w:rFonts w:ascii="宋体" w:hAnsi="宋体" w:cs="宋体"/>
                <w:color w:val="000000"/>
                <w:sz w:val="24"/>
              </w:rPr>
              <w:t>日期：</w:t>
            </w:r>
          </w:p>
        </w:tc>
        <w:tc>
          <w:tcPr>
            <w:gridSpan w:val="5"/>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r>
              <w:rPr>
                <w:rFonts w:ascii="宋体" w:hAnsi="宋体" w:cs="宋体"/>
                <w:color w:val="000000"/>
                <w:sz w:val="24"/>
              </w:rPr>
              <w:t>地点：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vAlign w:val="top"/>
          </w:tcPr>
          <w:p>
            <w:pPr>
              <w:pStyle w:val="8"/>
              <w:spacing w:before="0" w:beforeAutospacing="0" w:after="0" w:afterAutospacing="0" w:line="360" w:lineRule="auto"/>
              <w:rPr>
                <w:rFonts w:ascii="宋体" w:hAnsi="宋体" w:cs="宋体" w:eastAsiaTheme="minorEastAsia"/>
                <w:color w:val="000000"/>
                <w:sz w:val="24"/>
              </w:rPr>
            </w:pPr>
            <w:r>
              <w:rPr>
                <w:rFonts w:ascii="宋体" w:hAnsi="宋体" w:cs="宋体"/>
                <w:color w:val="000000"/>
                <w:sz w:val="24"/>
              </w:rPr>
              <w:t>到货内容</w:t>
            </w:r>
          </w:p>
        </w:tc>
        <w:tc>
          <w:tcPr>
            <w:tcW w:w="501" w:type="pct"/>
            <w:tcBorders>
              <w:top w:val="single" w:color="000000" w:sz="6" w:space="0"/>
              <w:left w:val="single" w:color="000000" w:sz="6" w:space="0"/>
              <w:bottom w:val="single" w:color="000000" w:sz="6" w:space="0"/>
              <w:right w:val="single" w:color="000000" w:sz="6" w:space="0"/>
            </w:tcBorders>
            <w:vAlign w:val="top"/>
          </w:tcPr>
          <w:p>
            <w:pPr>
              <w:pStyle w:val="8"/>
              <w:spacing w:before="0" w:beforeAutospacing="0" w:after="0" w:afterAutospacing="0" w:line="360" w:lineRule="auto"/>
              <w:rPr>
                <w:rFonts w:ascii="宋体" w:hAnsi="宋体" w:cs="宋体" w:eastAsiaTheme="minorEastAsia"/>
                <w:color w:val="000000"/>
                <w:sz w:val="24"/>
              </w:rPr>
            </w:pPr>
            <w:r>
              <w:rPr>
                <w:rFonts w:ascii="宋体" w:hAnsi="宋体" w:cs="宋体"/>
                <w:color w:val="000000"/>
                <w:sz w:val="24"/>
              </w:rPr>
              <w:t>编号</w:t>
            </w:r>
          </w:p>
        </w:tc>
        <w:tc>
          <w:tcPr>
            <w:tcW w:w="769" w:type="pct"/>
            <w:tcBorders>
              <w:top w:val="single" w:color="000000" w:sz="6" w:space="0"/>
              <w:left w:val="single" w:color="000000" w:sz="6" w:space="0"/>
              <w:bottom w:val="single" w:color="000000" w:sz="6" w:space="0"/>
              <w:right w:val="single" w:color="000000" w:sz="6" w:space="0"/>
            </w:tcBorders>
            <w:vAlign w:val="top"/>
          </w:tcPr>
          <w:p>
            <w:pPr>
              <w:pStyle w:val="8"/>
              <w:spacing w:before="0" w:beforeAutospacing="0" w:after="0" w:afterAutospacing="0" w:line="360" w:lineRule="auto"/>
              <w:rPr>
                <w:rFonts w:ascii="宋体" w:hAnsi="宋体" w:cs="宋体" w:eastAsiaTheme="minorEastAsia"/>
                <w:color w:val="000000"/>
                <w:sz w:val="24"/>
              </w:rPr>
            </w:pPr>
            <w:r>
              <w:rPr>
                <w:rFonts w:ascii="宋体" w:hAnsi="宋体" w:cs="宋体"/>
                <w:color w:val="000000"/>
                <w:sz w:val="24"/>
              </w:rPr>
              <w:t>单位</w:t>
            </w:r>
          </w:p>
        </w:tc>
        <w:tc>
          <w:tcPr>
            <w:tcW w:w="519" w:type="pct"/>
            <w:tcBorders>
              <w:top w:val="single" w:color="000000" w:sz="6" w:space="0"/>
              <w:left w:val="single" w:color="000000" w:sz="6" w:space="0"/>
              <w:bottom w:val="single" w:color="000000" w:sz="6" w:space="0"/>
              <w:right w:val="single" w:color="000000" w:sz="6" w:space="0"/>
            </w:tcBorders>
            <w:vAlign w:val="top"/>
          </w:tcPr>
          <w:p>
            <w:pPr>
              <w:pStyle w:val="8"/>
              <w:spacing w:before="0" w:beforeAutospacing="0" w:after="0" w:afterAutospacing="0" w:line="360" w:lineRule="auto"/>
              <w:rPr>
                <w:rFonts w:ascii="宋体" w:hAnsi="宋体" w:cs="宋体" w:eastAsiaTheme="minorEastAsia"/>
                <w:color w:val="000000"/>
                <w:sz w:val="24"/>
              </w:rPr>
            </w:pPr>
            <w:r>
              <w:rPr>
                <w:rFonts w:ascii="宋体" w:hAnsi="宋体" w:cs="宋体"/>
                <w:color w:val="000000"/>
                <w:sz w:val="24"/>
              </w:rPr>
              <w:t>数量</w:t>
            </w:r>
          </w:p>
        </w:tc>
        <w:tc>
          <w:tcPr>
            <w:tcBorders>
              <w:top w:val="single" w:color="000000" w:sz="6" w:space="0"/>
              <w:left w:val="single" w:color="000000" w:sz="6" w:space="0"/>
              <w:bottom w:val="single" w:color="000000" w:sz="6" w:space="0"/>
              <w:right w:val="single" w:color="000000" w:sz="6" w:space="0"/>
            </w:tcBorders>
            <w:vAlign w:val="top"/>
          </w:tcPr>
          <w:p>
            <w:pPr>
              <w:pStyle w:val="8"/>
              <w:spacing w:before="0" w:beforeAutospacing="0" w:after="0" w:afterAutospacing="0" w:line="360" w:lineRule="auto"/>
              <w:rPr>
                <w:rFonts w:ascii="宋体" w:hAnsi="宋体" w:cs="宋体" w:eastAsiaTheme="minorEastAsia"/>
                <w:color w:val="000000"/>
                <w:sz w:val="24"/>
              </w:rPr>
            </w:pPr>
            <w:r>
              <w:rPr>
                <w:rFonts w:ascii="宋体" w:hAnsi="宋体" w:cs="宋体"/>
                <w:color w:val="000000"/>
                <w:sz w:val="24"/>
              </w:rPr>
              <w:t>包装是否完好</w:t>
            </w:r>
          </w:p>
        </w:tc>
        <w:tc>
          <w:tcPr>
            <w:tcBorders>
              <w:top w:val="single" w:color="000000" w:sz="6" w:space="0"/>
              <w:left w:val="single" w:color="000000" w:sz="6" w:space="0"/>
              <w:bottom w:val="single" w:color="000000" w:sz="6" w:space="0"/>
              <w:right w:val="single" w:color="000000" w:sz="6" w:space="0"/>
            </w:tcBorders>
            <w:vAlign w:val="top"/>
          </w:tcPr>
          <w:p>
            <w:pPr>
              <w:pStyle w:val="8"/>
              <w:spacing w:before="0" w:beforeAutospacing="0" w:after="0" w:afterAutospacing="0" w:line="360" w:lineRule="auto"/>
              <w:rPr>
                <w:rFonts w:ascii="宋体" w:hAnsi="宋体" w:cs="宋体" w:eastAsiaTheme="minorEastAsia"/>
                <w:color w:val="000000"/>
                <w:sz w:val="24"/>
              </w:rPr>
            </w:pPr>
            <w:r>
              <w:rPr>
                <w:rFonts w:ascii="宋体" w:hAnsi="宋体" w:cs="宋体"/>
                <w:color w:val="000000"/>
                <w:sz w:val="24"/>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W w:w="501"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W w:w="769"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W w:w="519"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W w:w="501"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W w:w="769"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W w:w="519"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W w:w="501"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W w:w="769"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W w:w="519"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W w:w="501"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W w:w="769"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W w:w="519"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r>
              <w:rPr>
                <w:rFonts w:ascii="宋体" w:hAnsi="宋体" w:cs="宋体"/>
                <w:color w:val="000000"/>
                <w:sz w:val="24"/>
              </w:rPr>
              <w:t>甲方签收部门</w:t>
            </w:r>
          </w:p>
        </w:tc>
        <w:tc>
          <w:tcPr>
            <w:tcW w:w="3755" w:type="pct"/>
            <w:gridSpan w:val="5"/>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vAlign w:val="top"/>
          </w:tcPr>
          <w:p>
            <w:pPr>
              <w:pStyle w:val="8"/>
              <w:spacing w:before="0" w:beforeAutospacing="0" w:after="0" w:afterAutospacing="0" w:line="360" w:lineRule="auto"/>
              <w:rPr>
                <w:rFonts w:ascii="宋体" w:hAnsi="宋体" w:cs="宋体" w:eastAsiaTheme="minorEastAsia"/>
                <w:color w:val="000000"/>
                <w:sz w:val="24"/>
              </w:rPr>
            </w:pPr>
            <w:r>
              <w:rPr>
                <w:rFonts w:ascii="宋体" w:hAnsi="宋体" w:cs="宋体"/>
                <w:color w:val="000000"/>
                <w:sz w:val="24"/>
              </w:rPr>
              <w:t>移交单位</w:t>
            </w:r>
          </w:p>
        </w:tc>
        <w:tc>
          <w:tcPr>
            <w:tcW w:w="1270" w:type="pct"/>
            <w:gridSpan w:val="2"/>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W w:w="519" w:type="pct"/>
            <w:tcBorders>
              <w:top w:val="single" w:color="000000" w:sz="6" w:space="0"/>
              <w:left w:val="single" w:color="000000" w:sz="6" w:space="0"/>
              <w:bottom w:val="single" w:color="000000" w:sz="6" w:space="0"/>
              <w:right w:val="single" w:color="000000" w:sz="6" w:space="0"/>
            </w:tcBorders>
            <w:vAlign w:val="top"/>
          </w:tcPr>
          <w:p>
            <w:pPr>
              <w:pStyle w:val="8"/>
              <w:spacing w:before="0" w:beforeAutospacing="0" w:after="0" w:afterAutospacing="0" w:line="360" w:lineRule="auto"/>
              <w:rPr>
                <w:rFonts w:ascii="宋体" w:hAnsi="宋体" w:cs="宋体"/>
                <w:color w:val="000000"/>
                <w:sz w:val="24"/>
              </w:rPr>
            </w:pPr>
            <w:r>
              <w:rPr>
                <w:rFonts w:ascii="宋体" w:hAnsi="宋体" w:cs="宋体"/>
                <w:color w:val="000000"/>
                <w:sz w:val="24"/>
              </w:rPr>
              <w:t>移交人</w:t>
            </w:r>
          </w:p>
        </w:tc>
        <w:tc>
          <w:tcPr>
            <w:tcW w:w="1965" w:type="pct"/>
            <w:gridSpan w:val="2"/>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vAlign w:val="top"/>
          </w:tcPr>
          <w:p>
            <w:pPr>
              <w:pStyle w:val="8"/>
              <w:spacing w:before="0" w:beforeAutospacing="0" w:after="0" w:afterAutospacing="0" w:line="360" w:lineRule="auto"/>
              <w:rPr>
                <w:rFonts w:ascii="宋体" w:hAnsi="宋体" w:cs="宋体" w:eastAsiaTheme="minorEastAsia"/>
                <w:color w:val="000000"/>
                <w:sz w:val="24"/>
              </w:rPr>
            </w:pPr>
            <w:r>
              <w:rPr>
                <w:rFonts w:ascii="宋体" w:hAnsi="宋体" w:cs="宋体"/>
                <w:color w:val="000000"/>
                <w:sz w:val="24"/>
              </w:rPr>
              <w:t>接收单位</w:t>
            </w:r>
          </w:p>
        </w:tc>
        <w:tc>
          <w:tcPr>
            <w:tcW w:w="1270" w:type="pct"/>
            <w:gridSpan w:val="2"/>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W w:w="519" w:type="pct"/>
            <w:tcBorders>
              <w:top w:val="single" w:color="000000" w:sz="6" w:space="0"/>
              <w:left w:val="single" w:color="000000" w:sz="6" w:space="0"/>
              <w:bottom w:val="single" w:color="000000" w:sz="6" w:space="0"/>
              <w:right w:val="single" w:color="000000" w:sz="6" w:space="0"/>
            </w:tcBorders>
            <w:vAlign w:val="top"/>
          </w:tcPr>
          <w:p>
            <w:pPr>
              <w:pStyle w:val="8"/>
              <w:spacing w:before="0" w:beforeAutospacing="0" w:after="0" w:afterAutospacing="0" w:line="360" w:lineRule="auto"/>
              <w:rPr>
                <w:rFonts w:ascii="宋体" w:hAnsi="宋体" w:cs="宋体"/>
                <w:color w:val="000000"/>
                <w:sz w:val="24"/>
              </w:rPr>
            </w:pPr>
            <w:r>
              <w:rPr>
                <w:rFonts w:ascii="宋体" w:hAnsi="宋体" w:cs="宋体"/>
                <w:color w:val="000000"/>
                <w:sz w:val="24"/>
              </w:rPr>
              <w:t>接收人</w:t>
            </w:r>
          </w:p>
        </w:tc>
        <w:tc>
          <w:tcPr>
            <w:tcW w:w="1965" w:type="pct"/>
            <w:gridSpan w:val="2"/>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r>
    </w:tbl>
    <w:p>
      <w:pPr>
        <w:pStyle w:val="8"/>
        <w:spacing w:before="0" w:beforeAutospacing="0" w:after="0" w:afterAutospacing="0" w:line="360" w:lineRule="auto"/>
        <w:rPr>
          <w:rFonts w:ascii="宋体" w:hAnsi="宋体" w:cs="宋体"/>
          <w:color w:val="000000"/>
          <w:sz w:val="24"/>
        </w:rPr>
      </w:pPr>
    </w:p>
    <w:p>
      <w:pPr>
        <w:pStyle w:val="3"/>
        <w:spacing w:before="0" w:beforeAutospacing="0" w:after="0" w:afterAutospacing="0" w:line="360" w:lineRule="auto"/>
        <w:rPr>
          <w:rFonts w:ascii="宋体" w:hAnsi="宋体" w:cs="宋体"/>
          <w:sz w:val="32"/>
        </w:rPr>
      </w:pPr>
    </w:p>
    <w:p>
      <w:pPr>
        <w:pStyle w:val="3"/>
        <w:spacing w:before="0" w:beforeAutospacing="0" w:after="0" w:afterAutospacing="0" w:line="360" w:lineRule="auto"/>
        <w:rPr>
          <w:rFonts w:ascii="宋体" w:hAnsi="宋体" w:cs="宋体"/>
          <w:sz w:val="32"/>
        </w:rPr>
      </w:pPr>
    </w:p>
    <w:p>
      <w:pPr>
        <w:pStyle w:val="3"/>
        <w:spacing w:before="0" w:beforeAutospacing="0" w:after="0" w:afterAutospacing="0" w:line="360" w:lineRule="auto"/>
        <w:rPr>
          <w:rFonts w:ascii="宋体" w:hAnsi="宋体" w:cs="宋体"/>
          <w:sz w:val="32"/>
        </w:rPr>
      </w:pPr>
    </w:p>
    <w:p>
      <w:pPr>
        <w:pStyle w:val="3"/>
        <w:spacing w:before="0" w:beforeAutospacing="0" w:after="0" w:afterAutospacing="0" w:line="360" w:lineRule="auto"/>
        <w:rPr>
          <w:rFonts w:ascii="宋体" w:hAnsi="宋体" w:cs="宋体"/>
          <w:sz w:val="32"/>
        </w:rPr>
      </w:pPr>
    </w:p>
    <w:p>
      <w:pPr>
        <w:pStyle w:val="3"/>
        <w:spacing w:before="0" w:beforeAutospacing="0" w:after="0" w:afterAutospacing="0" w:line="360" w:lineRule="auto"/>
        <w:rPr>
          <w:rFonts w:ascii="宋体" w:hAnsi="宋体" w:cs="宋体"/>
          <w:sz w:val="32"/>
        </w:rPr>
      </w:pPr>
    </w:p>
    <w:p>
      <w:pPr>
        <w:pStyle w:val="3"/>
        <w:spacing w:before="0" w:beforeAutospacing="0" w:after="0" w:afterAutospacing="0" w:line="360" w:lineRule="auto"/>
        <w:rPr>
          <w:rFonts w:ascii="宋体" w:hAnsi="宋体" w:cs="宋体"/>
          <w:sz w:val="32"/>
        </w:rPr>
      </w:pPr>
    </w:p>
    <w:p>
      <w:pPr>
        <w:pStyle w:val="3"/>
        <w:spacing w:before="0" w:beforeAutospacing="0" w:after="0" w:afterAutospacing="0" w:line="360" w:lineRule="auto"/>
        <w:jc w:val="both"/>
        <w:rPr>
          <w:rFonts w:ascii="宋体" w:hAnsi="宋体" w:cs="宋体"/>
          <w:sz w:val="32"/>
        </w:rPr>
      </w:pPr>
    </w:p>
    <w:p>
      <w:pPr>
        <w:pStyle w:val="3"/>
        <w:spacing w:before="0" w:beforeAutospacing="0" w:after="0" w:afterAutospacing="0" w:line="360" w:lineRule="auto"/>
        <w:rPr>
          <w:rFonts w:ascii="宋体" w:hAnsi="宋体" w:cs="宋体"/>
          <w:sz w:val="32"/>
        </w:rPr>
      </w:pPr>
      <w:r>
        <w:rPr>
          <w:rFonts w:ascii="宋体" w:hAnsi="宋体" w:cs="宋体"/>
          <w:sz w:val="32"/>
        </w:rPr>
        <w:t>附件5：设备验收合格单</w:t>
      </w:r>
    </w:p>
    <w:p>
      <w:pPr>
        <w:pStyle w:val="8"/>
        <w:spacing w:before="0" w:beforeAutospacing="0" w:after="0" w:afterAutospacing="0" w:line="360" w:lineRule="auto"/>
        <w:rPr>
          <w:rFonts w:ascii="宋体" w:hAnsi="宋体" w:cs="宋体"/>
          <w:color w:val="000000"/>
          <w:sz w:val="24"/>
        </w:rPr>
      </w:pPr>
      <w:r>
        <w:rPr>
          <w:rFonts w:ascii="宋体" w:hAnsi="宋体" w:cs="宋体"/>
          <w:color w:val="000000"/>
          <w:sz w:val="24"/>
        </w:rPr>
        <w:t>合同号：</w:t>
      </w:r>
      <w:r>
        <w:rPr>
          <w:rFonts w:ascii="宋体" w:hAnsi="宋体" w:cs="宋体"/>
          <w:color w:val="000000"/>
          <w:sz w:val="24"/>
          <w:u w:val="single"/>
        </w:rPr>
        <w:t>        </w:t>
      </w:r>
    </w:p>
    <w:tbl>
      <w:tblPr>
        <w:tblStyle w:val="9"/>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 w:type="dxa"/>
          <w:bottom w:w="0" w:type="dxa"/>
          <w:right w:w="10" w:type="dxa"/>
        </w:tblCellMar>
      </w:tblPr>
      <w:tblGrid>
        <w:gridCol w:w="3212"/>
        <w:gridCol w:w="1243"/>
        <w:gridCol w:w="825"/>
        <w:gridCol w:w="579"/>
        <w:gridCol w:w="1071"/>
        <w:gridCol w:w="173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854"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r>
              <w:rPr>
                <w:rFonts w:ascii="宋体" w:hAnsi="宋体" w:cs="宋体"/>
                <w:color w:val="000000"/>
                <w:sz w:val="24"/>
              </w:rPr>
              <w:t>日期：</w:t>
            </w:r>
          </w:p>
        </w:tc>
        <w:tc>
          <w:tcPr>
            <w:tcW w:w="717"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r>
              <w:rPr>
                <w:rFonts w:ascii="宋体" w:hAnsi="宋体" w:cs="宋体"/>
                <w:color w:val="000000"/>
                <w:sz w:val="24"/>
              </w:rPr>
              <w:t>地点：</w:t>
            </w:r>
          </w:p>
        </w:tc>
        <w:tc>
          <w:tcPr>
            <w:tcW w:w="2427" w:type="pct"/>
            <w:gridSpan w:val="4"/>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854" w:type="pct"/>
            <w:tcBorders>
              <w:top w:val="single" w:color="000000" w:sz="6" w:space="0"/>
              <w:left w:val="single" w:color="000000" w:sz="6" w:space="0"/>
              <w:bottom w:val="single" w:color="000000" w:sz="6" w:space="0"/>
              <w:right w:val="single" w:color="000000" w:sz="6" w:space="0"/>
            </w:tcBorders>
            <w:vAlign w:val="top"/>
          </w:tcPr>
          <w:p>
            <w:pPr>
              <w:pStyle w:val="8"/>
              <w:spacing w:before="0" w:beforeAutospacing="0" w:after="0" w:afterAutospacing="0" w:line="360" w:lineRule="auto"/>
              <w:rPr>
                <w:rFonts w:ascii="宋体" w:hAnsi="宋体" w:cs="宋体" w:eastAsiaTheme="minorEastAsia"/>
                <w:color w:val="000000"/>
                <w:sz w:val="24"/>
              </w:rPr>
            </w:pPr>
            <w:r>
              <w:rPr>
                <w:rFonts w:ascii="宋体" w:hAnsi="宋体" w:cs="宋体"/>
                <w:color w:val="000000"/>
                <w:sz w:val="24"/>
              </w:rPr>
              <w:t>到货内容</w:t>
            </w:r>
          </w:p>
        </w:tc>
        <w:tc>
          <w:tcPr>
            <w:tcW w:w="717" w:type="pct"/>
            <w:tcBorders>
              <w:top w:val="single" w:color="000000" w:sz="6" w:space="0"/>
              <w:left w:val="single" w:color="000000" w:sz="6" w:space="0"/>
              <w:bottom w:val="single" w:color="000000" w:sz="6" w:space="0"/>
              <w:right w:val="single" w:color="000000" w:sz="6" w:space="0"/>
            </w:tcBorders>
            <w:vAlign w:val="top"/>
          </w:tcPr>
          <w:p>
            <w:pPr>
              <w:pStyle w:val="8"/>
              <w:spacing w:before="0" w:beforeAutospacing="0" w:after="0" w:afterAutospacing="0" w:line="360" w:lineRule="auto"/>
              <w:rPr>
                <w:rFonts w:ascii="宋体" w:hAnsi="宋体" w:cs="宋体" w:eastAsiaTheme="minorEastAsia"/>
                <w:color w:val="000000"/>
                <w:sz w:val="24"/>
              </w:rPr>
            </w:pPr>
            <w:r>
              <w:rPr>
                <w:rFonts w:ascii="宋体" w:hAnsi="宋体" w:cs="宋体"/>
                <w:color w:val="000000"/>
                <w:sz w:val="24"/>
              </w:rPr>
              <w:t>编号</w:t>
            </w:r>
          </w:p>
        </w:tc>
        <w:tc>
          <w:tcPr>
            <w:tcW w:w="476" w:type="pct"/>
            <w:tcBorders>
              <w:top w:val="single" w:color="000000" w:sz="6" w:space="0"/>
              <w:left w:val="single" w:color="000000" w:sz="6" w:space="0"/>
              <w:bottom w:val="single" w:color="000000" w:sz="6" w:space="0"/>
              <w:right w:val="single" w:color="000000" w:sz="6" w:space="0"/>
            </w:tcBorders>
            <w:vAlign w:val="top"/>
          </w:tcPr>
          <w:p>
            <w:pPr>
              <w:pStyle w:val="8"/>
              <w:spacing w:before="0" w:beforeAutospacing="0" w:after="0" w:afterAutospacing="0" w:line="360" w:lineRule="auto"/>
              <w:rPr>
                <w:rFonts w:ascii="宋体" w:hAnsi="宋体" w:cs="宋体" w:eastAsiaTheme="minorEastAsia"/>
                <w:color w:val="000000"/>
                <w:sz w:val="24"/>
              </w:rPr>
            </w:pPr>
            <w:r>
              <w:rPr>
                <w:rFonts w:ascii="宋体" w:hAnsi="宋体" w:cs="宋体"/>
                <w:color w:val="000000"/>
                <w:sz w:val="24"/>
              </w:rPr>
              <w:t>单位</w:t>
            </w:r>
          </w:p>
        </w:tc>
        <w:tc>
          <w:tcPr>
            <w:tcW w:w="334" w:type="pct"/>
            <w:tcBorders>
              <w:top w:val="single" w:color="000000" w:sz="6" w:space="0"/>
              <w:left w:val="single" w:color="000000" w:sz="6" w:space="0"/>
              <w:bottom w:val="single" w:color="000000" w:sz="6" w:space="0"/>
              <w:right w:val="single" w:color="000000" w:sz="6" w:space="0"/>
            </w:tcBorders>
            <w:vAlign w:val="top"/>
          </w:tcPr>
          <w:p>
            <w:pPr>
              <w:pStyle w:val="8"/>
              <w:spacing w:before="0" w:beforeAutospacing="0" w:after="0" w:afterAutospacing="0" w:line="360" w:lineRule="auto"/>
              <w:rPr>
                <w:rFonts w:ascii="宋体" w:hAnsi="宋体" w:cs="宋体" w:eastAsiaTheme="minorEastAsia"/>
                <w:color w:val="000000"/>
                <w:sz w:val="24"/>
              </w:rPr>
            </w:pPr>
            <w:r>
              <w:rPr>
                <w:rFonts w:ascii="宋体" w:hAnsi="宋体" w:cs="宋体"/>
                <w:color w:val="000000"/>
                <w:sz w:val="24"/>
              </w:rPr>
              <w:t>数量</w:t>
            </w:r>
          </w:p>
        </w:tc>
        <w:tc>
          <w:tcPr>
            <w:tcW w:w="618" w:type="pct"/>
            <w:tcBorders>
              <w:top w:val="single" w:color="000000" w:sz="6" w:space="0"/>
              <w:left w:val="single" w:color="000000" w:sz="6" w:space="0"/>
              <w:bottom w:val="single" w:color="000000" w:sz="6" w:space="0"/>
              <w:right w:val="single" w:color="000000" w:sz="6" w:space="0"/>
            </w:tcBorders>
            <w:vAlign w:val="top"/>
          </w:tcPr>
          <w:p>
            <w:pPr>
              <w:pStyle w:val="8"/>
              <w:spacing w:before="0" w:beforeAutospacing="0" w:after="0" w:afterAutospacing="0" w:line="360" w:lineRule="auto"/>
              <w:rPr>
                <w:rFonts w:ascii="宋体" w:hAnsi="宋体" w:cs="宋体" w:eastAsiaTheme="minorEastAsia"/>
                <w:color w:val="000000"/>
                <w:sz w:val="24"/>
              </w:rPr>
            </w:pPr>
            <w:r>
              <w:rPr>
                <w:rFonts w:ascii="宋体" w:hAnsi="宋体" w:cs="宋体"/>
                <w:color w:val="000000"/>
                <w:sz w:val="24"/>
              </w:rPr>
              <w:t>是否符合合同要求</w:t>
            </w:r>
          </w:p>
        </w:tc>
        <w:tc>
          <w:tcPr>
            <w:tcW w:w="998" w:type="pct"/>
            <w:tcBorders>
              <w:top w:val="single" w:color="000000" w:sz="6" w:space="0"/>
              <w:left w:val="single" w:color="000000" w:sz="6" w:space="0"/>
              <w:bottom w:val="single" w:color="000000" w:sz="6" w:space="0"/>
              <w:right w:val="single" w:color="000000" w:sz="6" w:space="0"/>
            </w:tcBorders>
            <w:vAlign w:val="top"/>
          </w:tcPr>
          <w:p>
            <w:pPr>
              <w:pStyle w:val="8"/>
              <w:spacing w:before="0" w:beforeAutospacing="0" w:after="0" w:afterAutospacing="0" w:line="360" w:lineRule="auto"/>
              <w:rPr>
                <w:rFonts w:ascii="宋体" w:hAnsi="宋体" w:cs="宋体" w:eastAsiaTheme="minorEastAsia"/>
                <w:color w:val="000000"/>
                <w:sz w:val="24"/>
              </w:rPr>
            </w:pPr>
            <w:r>
              <w:rPr>
                <w:rFonts w:ascii="宋体" w:hAnsi="宋体" w:cs="宋体"/>
                <w:color w:val="000000"/>
                <w:sz w:val="24"/>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854"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W w:w="717"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W w:w="476"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W w:w="334"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W w:w="618"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W w:w="998"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854"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W w:w="717"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W w:w="476"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W w:w="334"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W w:w="618"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W w:w="998"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854"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W w:w="717"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W w:w="476"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W w:w="334"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W w:w="618"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W w:w="998"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854"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W w:w="717"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W w:w="476"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W w:w="334"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W w:w="618"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W w:w="998"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5000" w:type="pct"/>
            <w:gridSpan w:val="6"/>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r>
              <w:rPr>
                <w:rFonts w:ascii="宋体" w:hAnsi="宋体" w:cs="宋体"/>
                <w:color w:val="000000"/>
                <w:sz w:val="24"/>
              </w:rPr>
              <w:t>设备合计（人民币）：</w:t>
            </w:r>
            <w:r>
              <w:rPr>
                <w:rFonts w:ascii="宋体" w:hAnsi="宋体" w:cs="宋体"/>
                <w:color w:val="000000"/>
                <w:sz w:val="24"/>
                <w:u w:val="single"/>
              </w:rPr>
              <w:t>        </w:t>
            </w:r>
          </w:p>
          <w:p>
            <w:pPr>
              <w:pStyle w:val="8"/>
              <w:spacing w:before="0" w:beforeAutospacing="0" w:after="0" w:afterAutospacing="0" w:line="360" w:lineRule="auto"/>
              <w:rPr>
                <w:rFonts w:ascii="宋体" w:hAnsi="宋体" w:cs="宋体"/>
                <w:color w:val="000000"/>
                <w:sz w:val="24"/>
              </w:rPr>
            </w:pPr>
            <w:r>
              <w:rPr>
                <w:rFonts w:ascii="宋体" w:hAnsi="宋体" w:cs="宋体"/>
                <w:color w:val="000000"/>
                <w:sz w:val="24"/>
              </w:rPr>
              <w:t>大写：</w:t>
            </w:r>
            <w:r>
              <w:rPr>
                <w:rFonts w:ascii="宋体" w:hAnsi="宋体" w:cs="宋体"/>
                <w:color w:val="000000"/>
                <w:sz w:val="24"/>
                <w:u w:val="single"/>
              </w:rPr>
              <w:t>        </w:t>
            </w:r>
            <w:r>
              <w:rPr>
                <w:rFonts w:ascii="宋体" w:hAnsi="宋体" w:cs="宋体"/>
                <w:color w:val="000000"/>
                <w:sz w:val="24"/>
              </w:rPr>
              <w:t>￥：</w:t>
            </w:r>
            <w:r>
              <w:rPr>
                <w:rFonts w:ascii="宋体" w:hAnsi="宋体" w:cs="宋体"/>
                <w:color w:val="000000"/>
                <w:sz w:val="24"/>
                <w:u w:val="single"/>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854"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r>
              <w:rPr>
                <w:rFonts w:ascii="宋体" w:hAnsi="宋体" w:cs="宋体"/>
                <w:color w:val="000000"/>
                <w:sz w:val="24"/>
              </w:rPr>
              <w:t>验收单位</w:t>
            </w:r>
          </w:p>
        </w:tc>
        <w:tc>
          <w:tcPr>
            <w:tcW w:w="1528" w:type="pct"/>
            <w:gridSpan w:val="3"/>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W w:w="618"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r>
              <w:rPr>
                <w:rFonts w:ascii="宋体" w:hAnsi="宋体" w:cs="宋体"/>
                <w:color w:val="000000"/>
                <w:sz w:val="24"/>
              </w:rPr>
              <w:t>验收人</w:t>
            </w:r>
          </w:p>
        </w:tc>
        <w:tc>
          <w:tcPr>
            <w:tcW w:w="998"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854"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W w:w="1528" w:type="pct"/>
            <w:gridSpan w:val="3"/>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c>
          <w:tcPr>
            <w:tcW w:w="618"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r>
              <w:rPr>
                <w:rFonts w:ascii="宋体" w:hAnsi="宋体" w:cs="宋体"/>
                <w:color w:val="000000"/>
                <w:sz w:val="24"/>
              </w:rPr>
              <w:t>交付人</w:t>
            </w:r>
          </w:p>
        </w:tc>
        <w:tc>
          <w:tcPr>
            <w:tcW w:w="998" w:type="pct"/>
            <w:tcBorders>
              <w:top w:val="single" w:color="000000" w:sz="6" w:space="0"/>
              <w:left w:val="single" w:color="000000" w:sz="6" w:space="0"/>
              <w:bottom w:val="single" w:color="000000" w:sz="6" w:space="0"/>
              <w:right w:val="single" w:color="000000" w:sz="6" w:space="0"/>
            </w:tcBorders>
          </w:tcPr>
          <w:p>
            <w:pPr>
              <w:pStyle w:val="8"/>
              <w:spacing w:before="0" w:beforeAutospacing="0" w:after="0" w:afterAutospacing="0" w:line="360" w:lineRule="auto"/>
              <w:rPr>
                <w:rFonts w:ascii="宋体" w:hAnsi="宋体" w:cs="宋体"/>
                <w:color w:val="000000"/>
                <w:sz w:val="24"/>
              </w:rPr>
            </w:pPr>
          </w:p>
        </w:tc>
      </w:tr>
    </w:tbl>
    <w:p/>
    <w:sectPr>
      <w:footerReference r:id="rId5" w:type="default"/>
      <w:pgNumType w:fmt="decimal"/>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亦苒" w:date="2022-03-30T14:11:29Z" w:initials="">
    <w:p w14:paraId="758375ED">
      <w:pPr>
        <w:pStyle w:val="5"/>
        <w:rPr>
          <w:rFonts w:hint="eastAsia"/>
        </w:rPr>
      </w:pPr>
      <w:r>
        <w:rPr>
          <w:rFonts w:hint="eastAsia"/>
          <w:lang w:val="en-US" w:eastAsia="zh-CN"/>
        </w:rPr>
        <w:t>合同(两方)</w:t>
      </w:r>
    </w:p>
    <w:p w14:paraId="280B3662">
      <w:pPr>
        <w:pStyle w:val="5"/>
        <w:rPr>
          <w:rFonts w:hint="eastAsia"/>
          <w:lang w:val="en-US" w:eastAsia="zh-CN"/>
        </w:rPr>
      </w:pPr>
      <w:r>
        <w:rPr>
          <w:rFonts w:hint="eastAsia"/>
          <w:lang w:val="en-US" w:eastAsia="zh-CN"/>
        </w:rPr>
        <w:t>甲方（承包商）与乙方（供应商）签订合同，甲方支付材料、设备货款，乙方向甲方承担质量保证责任。</w:t>
      </w:r>
    </w:p>
    <w:p w14:paraId="6EA81CAC">
      <w:pPr>
        <w:pStyle w:val="5"/>
        <w:rPr>
          <w:rFonts w:hint="default"/>
          <w:lang w:val="en-US" w:eastAsia="zh-CN"/>
        </w:rPr>
      </w:pPr>
      <w:r>
        <w:rPr>
          <w:rFonts w:hint="eastAsia"/>
          <w:lang w:val="en-US" w:eastAsia="zh-CN"/>
        </w:rPr>
        <w:t>含下列附件：</w:t>
      </w:r>
    </w:p>
    <w:p w14:paraId="190F030A">
      <w:pPr>
        <w:pStyle w:val="5"/>
        <w:rPr>
          <w:rFonts w:hint="eastAsia"/>
          <w:lang w:val="en-US" w:eastAsia="zh-CN"/>
        </w:rPr>
      </w:pPr>
      <w:r>
        <w:rPr>
          <w:rFonts w:hint="eastAsia"/>
          <w:lang w:val="en-US" w:eastAsia="zh-CN"/>
        </w:rPr>
        <w:t>附件1：安装、调试及验收标准</w:t>
      </w:r>
    </w:p>
    <w:p w14:paraId="713B46EE">
      <w:pPr>
        <w:pStyle w:val="5"/>
        <w:rPr>
          <w:rFonts w:hint="eastAsia"/>
          <w:lang w:val="en-US" w:eastAsia="zh-CN"/>
        </w:rPr>
      </w:pPr>
      <w:r>
        <w:rPr>
          <w:rFonts w:hint="eastAsia"/>
          <w:lang w:val="en-US" w:eastAsia="zh-CN"/>
        </w:rPr>
        <w:t>附件2：材料设备质量保修书</w:t>
      </w:r>
    </w:p>
    <w:p w14:paraId="12270B8B">
      <w:pPr>
        <w:pStyle w:val="5"/>
        <w:rPr>
          <w:rFonts w:hint="eastAsia"/>
          <w:lang w:val="en-US" w:eastAsia="zh-CN"/>
        </w:rPr>
      </w:pPr>
      <w:r>
        <w:rPr>
          <w:rFonts w:hint="eastAsia"/>
          <w:lang w:val="en-US" w:eastAsia="zh-CN"/>
        </w:rPr>
        <w:t>附件3：设备及其零部件质量标准及技术规范</w:t>
      </w:r>
    </w:p>
    <w:p w14:paraId="198D5A1C">
      <w:pPr>
        <w:pStyle w:val="5"/>
        <w:rPr>
          <w:rFonts w:hint="eastAsia"/>
          <w:lang w:val="en-US" w:eastAsia="zh-CN"/>
        </w:rPr>
      </w:pPr>
      <w:r>
        <w:rPr>
          <w:rFonts w:hint="eastAsia"/>
          <w:lang w:val="en-US" w:eastAsia="zh-CN"/>
        </w:rPr>
        <w:t>附件4：设备到货签收单</w:t>
      </w:r>
    </w:p>
    <w:p w14:paraId="3459553C">
      <w:pPr>
        <w:pStyle w:val="5"/>
        <w:rPr>
          <w:rFonts w:hint="eastAsia"/>
          <w:lang w:val="en-US" w:eastAsia="zh-CN"/>
        </w:rPr>
      </w:pPr>
      <w:r>
        <w:rPr>
          <w:rFonts w:hint="eastAsia"/>
          <w:lang w:val="en-US" w:eastAsia="zh-CN"/>
        </w:rPr>
        <w:t>附件5：设备验收合格单</w:t>
      </w:r>
    </w:p>
    <w:p w14:paraId="43EC1FF8">
      <w:pPr>
        <w:pStyle w:val="5"/>
        <w:rPr>
          <w:rFonts w:hint="eastAsia"/>
          <w:lang w:val="en-US" w:eastAsia="zh-CN"/>
        </w:rPr>
      </w:pPr>
    </w:p>
    <w:p w14:paraId="0A745E89">
      <w:pPr>
        <w:pStyle w:val="5"/>
      </w:pPr>
    </w:p>
  </w:comment>
  <w:comment w:id="1" w:author="亦苒" w:date="2022-03-30T14:38:41Z" w:initials="">
    <w:p w14:paraId="7ED225DD">
      <w:pPr>
        <w:rPr>
          <w:rFonts w:hint="eastAsia" w:ascii="宋体" w:hAnsi="宋体" w:eastAsia="宋体" w:cs="宋体"/>
          <w:b/>
          <w:bCs/>
          <w:sz w:val="24"/>
          <w:szCs w:val="24"/>
          <w:shd w:val="clear" w:color="FFFFFF" w:fill="D9D9D9"/>
          <w:lang w:eastAsia="zh-CN"/>
        </w:rPr>
      </w:pPr>
      <w:r>
        <w:rPr>
          <w:rFonts w:ascii="宋体" w:hAnsi="宋体" w:eastAsia="宋体" w:cs="宋体"/>
          <w:b/>
          <w:bCs/>
          <w:sz w:val="24"/>
          <w:szCs w:val="24"/>
        </w:rPr>
        <w:t>合同使用说明：</w:t>
      </w:r>
    </w:p>
    <w:p w14:paraId="2CEB1851">
      <w:pPr>
        <w:pStyle w:val="4"/>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b w:val="0"/>
          <w:bCs/>
        </w:rPr>
      </w:pPr>
      <w:r>
        <w:rPr>
          <w:rFonts w:hint="eastAsia" w:ascii="宋体" w:hAnsi="宋体" w:eastAsia="宋体" w:cs="宋体"/>
          <w:b w:val="0"/>
          <w:bCs/>
          <w:sz w:val="24"/>
          <w:szCs w:val="24"/>
          <w:lang w:val="en-US" w:eastAsia="zh-CN"/>
        </w:rPr>
        <w:t>1、</w:t>
      </w:r>
      <w:r>
        <w:rPr>
          <w:rFonts w:ascii="宋体" w:hAnsi="宋体" w:eastAsia="宋体" w:cs="宋体"/>
          <w:b w:val="0"/>
          <w:bCs/>
          <w:sz w:val="24"/>
          <w:szCs w:val="24"/>
        </w:rPr>
        <w:t>注意填写并核对本合同中有关</w:t>
      </w:r>
      <w:r>
        <w:rPr>
          <w:rFonts w:ascii="宋体" w:hAnsi="宋体" w:eastAsia="宋体" w:cs="宋体"/>
          <w:b/>
          <w:bCs w:val="0"/>
          <w:sz w:val="24"/>
          <w:szCs w:val="24"/>
          <w:u w:val="single"/>
        </w:rPr>
        <w:t>金额、日期等</w:t>
      </w:r>
      <w:r>
        <w:rPr>
          <w:rFonts w:ascii="宋体" w:hAnsi="宋体" w:eastAsia="宋体" w:cs="宋体"/>
          <w:b w:val="0"/>
          <w:bCs/>
          <w:sz w:val="24"/>
          <w:szCs w:val="24"/>
        </w:rPr>
        <w:t>相关内容。</w:t>
      </w:r>
      <w:r>
        <w:rPr>
          <w:rFonts w:ascii="宋体" w:hAnsi="宋体" w:eastAsia="宋体" w:cs="宋体"/>
          <w:b w:val="0"/>
          <w:bCs/>
          <w:sz w:val="24"/>
          <w:szCs w:val="24"/>
        </w:rPr>
        <w:br w:type="textWrapping"/>
      </w:r>
      <w:r>
        <w:rPr>
          <w:rFonts w:ascii="宋体" w:hAnsi="宋体" w:eastAsia="宋体" w:cs="宋体"/>
          <w:b w:val="0"/>
          <w:bCs/>
          <w:sz w:val="24"/>
          <w:szCs w:val="24"/>
        </w:rPr>
        <w:t>2、建议重点明确本合同中关于</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u w:val="single"/>
        </w:rPr>
        <w:t>交付</w:t>
      </w:r>
      <w:r>
        <w:rPr>
          <w:rFonts w:hint="eastAsia" w:ascii="宋体" w:hAnsi="宋体" w:eastAsia="宋体" w:cs="宋体"/>
          <w:b/>
          <w:bCs w:val="0"/>
          <w:sz w:val="24"/>
          <w:szCs w:val="24"/>
          <w:u w:val="single"/>
          <w:lang w:eastAsia="zh-CN"/>
        </w:rPr>
        <w:t>、</w:t>
      </w:r>
      <w:r>
        <w:rPr>
          <w:rFonts w:hint="eastAsia" w:ascii="宋体" w:hAnsi="宋体" w:eastAsia="宋体" w:cs="宋体"/>
          <w:b/>
          <w:bCs w:val="0"/>
          <w:sz w:val="24"/>
          <w:szCs w:val="24"/>
          <w:u w:val="single"/>
        </w:rPr>
        <w:t>验收</w:t>
      </w:r>
      <w:r>
        <w:rPr>
          <w:rFonts w:hint="eastAsia" w:ascii="宋体" w:hAnsi="宋体" w:eastAsia="宋体" w:cs="宋体"/>
          <w:b/>
          <w:bCs w:val="0"/>
          <w:sz w:val="24"/>
          <w:szCs w:val="24"/>
          <w:u w:val="single"/>
          <w:lang w:eastAsia="zh-CN"/>
        </w:rPr>
        <w:t>、</w:t>
      </w:r>
      <w:r>
        <w:rPr>
          <w:rFonts w:hint="eastAsia" w:ascii="宋体" w:hAnsi="宋体" w:eastAsia="宋体" w:cs="宋体"/>
          <w:b/>
          <w:bCs w:val="0"/>
          <w:sz w:val="24"/>
          <w:szCs w:val="24"/>
          <w:u w:val="single"/>
          <w:lang w:val="en-US" w:eastAsia="zh-CN"/>
        </w:rPr>
        <w:t>付款、</w:t>
      </w:r>
      <w:r>
        <w:rPr>
          <w:rFonts w:hint="eastAsia" w:ascii="宋体" w:hAnsi="宋体" w:eastAsia="宋体" w:cs="宋体"/>
          <w:b/>
          <w:bCs w:val="0"/>
          <w:sz w:val="24"/>
          <w:szCs w:val="24"/>
          <w:u w:val="single"/>
        </w:rPr>
        <w:t>违约责任与合同解除</w:t>
      </w:r>
      <w:r>
        <w:rPr>
          <w:rFonts w:hint="eastAsia" w:ascii="宋体" w:hAnsi="宋体" w:eastAsia="宋体" w:cs="宋体"/>
          <w:b/>
          <w:bCs w:val="0"/>
          <w:sz w:val="24"/>
          <w:szCs w:val="24"/>
          <w:u w:val="single"/>
          <w:lang w:val="en-US" w:eastAsia="zh-CN"/>
        </w:rPr>
        <w:t xml:space="preserve"> </w:t>
      </w:r>
      <w:r>
        <w:rPr>
          <w:rFonts w:ascii="宋体" w:hAnsi="宋体" w:eastAsia="宋体" w:cs="宋体"/>
          <w:b/>
          <w:bCs w:val="0"/>
          <w:sz w:val="24"/>
          <w:szCs w:val="24"/>
        </w:rPr>
        <w:t>等</w:t>
      </w:r>
      <w:r>
        <w:rPr>
          <w:rFonts w:ascii="宋体" w:hAnsi="宋体" w:eastAsia="宋体" w:cs="宋体"/>
          <w:b w:val="0"/>
          <w:bCs/>
          <w:sz w:val="24"/>
          <w:szCs w:val="24"/>
        </w:rPr>
        <w:t>条款内容。</w:t>
      </w:r>
      <w:r>
        <w:rPr>
          <w:rFonts w:ascii="宋体" w:hAnsi="宋体" w:eastAsia="宋体" w:cs="宋体"/>
          <w:b w:val="0"/>
          <w:bCs/>
          <w:sz w:val="24"/>
          <w:szCs w:val="24"/>
        </w:rPr>
        <w:br w:type="textWrapping"/>
      </w:r>
      <w:r>
        <w:rPr>
          <w:rFonts w:ascii="宋体" w:hAnsi="宋体" w:eastAsia="宋体" w:cs="宋体"/>
          <w:b w:val="0"/>
          <w:bCs/>
          <w:sz w:val="24"/>
          <w:szCs w:val="24"/>
        </w:rPr>
        <w:t>3、注意合同中</w:t>
      </w:r>
      <w:r>
        <w:rPr>
          <w:rFonts w:ascii="宋体" w:hAnsi="宋体" w:eastAsia="宋体" w:cs="宋体"/>
          <w:b/>
          <w:bCs w:val="0"/>
          <w:sz w:val="24"/>
          <w:szCs w:val="24"/>
        </w:rPr>
        <w:t>通知条款</w:t>
      </w:r>
      <w:r>
        <w:rPr>
          <w:rFonts w:ascii="宋体" w:hAnsi="宋体" w:eastAsia="宋体" w:cs="宋体"/>
          <w:b w:val="0"/>
          <w:bCs/>
          <w:sz w:val="24"/>
          <w:szCs w:val="24"/>
        </w:rPr>
        <w:t>的约定。 </w:t>
      </w:r>
      <w:r>
        <w:rPr>
          <w:rFonts w:ascii="宋体" w:hAnsi="宋体" w:eastAsia="宋体" w:cs="宋体"/>
          <w:b w:val="0"/>
          <w:bCs/>
          <w:sz w:val="24"/>
          <w:szCs w:val="24"/>
        </w:rPr>
        <w:br w:type="textWrapping"/>
      </w:r>
      <w:r>
        <w:rPr>
          <w:rFonts w:ascii="宋体" w:hAnsi="宋体" w:eastAsia="宋体" w:cs="宋体"/>
          <w:b w:val="0"/>
          <w:bCs/>
          <w:sz w:val="24"/>
          <w:szCs w:val="24"/>
        </w:rPr>
        <w:t>4、建议明确并完善本合同中提及的</w:t>
      </w:r>
      <w:r>
        <w:rPr>
          <w:rFonts w:ascii="宋体" w:hAnsi="宋体" w:eastAsia="宋体" w:cs="宋体"/>
          <w:b/>
          <w:bCs w:val="0"/>
          <w:sz w:val="24"/>
          <w:szCs w:val="24"/>
        </w:rPr>
        <w:t>所有附件</w:t>
      </w:r>
      <w:r>
        <w:rPr>
          <w:rFonts w:ascii="宋体" w:hAnsi="宋体" w:eastAsia="宋体" w:cs="宋体"/>
          <w:b w:val="0"/>
          <w:bCs/>
          <w:sz w:val="24"/>
          <w:szCs w:val="24"/>
        </w:rPr>
        <w:t>。</w:t>
      </w:r>
    </w:p>
    <w:p w14:paraId="6D5D2148">
      <w:pPr>
        <w:pStyle w:val="5"/>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A745E89" w15:done="0"/>
  <w15:commentEx w15:paraId="6D5D214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8"/>
      <w:numFmt w:val="decimalHalfWidth"/>
      <w:lvlText w:val="第%1条 "/>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
    <w:nsid w:val="9288B902"/>
    <w:multiLevelType w:val="multilevel"/>
    <w:tmpl w:val="9288B902"/>
    <w:lvl w:ilvl="0" w:tentative="0">
      <w:start w:val="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
    <w:nsid w:val="9C8AC8EF"/>
    <w:multiLevelType w:val="multilevel"/>
    <w:tmpl w:val="9C8AC8EF"/>
    <w:lvl w:ilvl="0" w:tentative="0">
      <w:start w:val="1"/>
      <w:numFmt w:val="decimalHalfWidth"/>
      <w:lvlText w:val="第%1条 "/>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
    <w:nsid w:val="B0F1ACD9"/>
    <w:multiLevelType w:val="multilevel"/>
    <w:tmpl w:val="B0F1ACD9"/>
    <w:lvl w:ilvl="0" w:tentative="0">
      <w:start w:val="6"/>
      <w:numFmt w:val="decimalHalfWidth"/>
      <w:lvlText w:val="第%1条 "/>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
    <w:nsid w:val="B5E306ED"/>
    <w:multiLevelType w:val="multilevel"/>
    <w:tmpl w:val="B5E306ED"/>
    <w:lvl w:ilvl="0" w:tentative="0">
      <w:start w:val="3"/>
      <w:numFmt w:val="decimalHalfWidth"/>
      <w:lvlText w:val="第%1条 "/>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5">
    <w:nsid w:val="BE923771"/>
    <w:multiLevelType w:val="multilevel"/>
    <w:tmpl w:val="BE923771"/>
    <w:lvl w:ilvl="0" w:tentative="0">
      <w:start w:val="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6">
    <w:nsid w:val="BF205925"/>
    <w:multiLevelType w:val="multilevel"/>
    <w:tmpl w:val="BF205925"/>
    <w:lvl w:ilvl="0" w:tentative="0">
      <w:start w:val="2"/>
      <w:numFmt w:val="decimalHalfWidth"/>
      <w:lvlText w:val="第%1条 "/>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7">
    <w:nsid w:val="C8879AEF"/>
    <w:multiLevelType w:val="multilevel"/>
    <w:tmpl w:val="C8879AEF"/>
    <w:lvl w:ilvl="0" w:tentative="0">
      <w:start w:val="11"/>
      <w:numFmt w:val="decimalHalfWidth"/>
      <w:lvlText w:val="第%1条 "/>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8">
    <w:nsid w:val="CF092B84"/>
    <w:multiLevelType w:val="multilevel"/>
    <w:tmpl w:val="CF092B84"/>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9">
    <w:nsid w:val="D7F9FE59"/>
    <w:multiLevelType w:val="multilevel"/>
    <w:tmpl w:val="D7F9FE59"/>
    <w:lvl w:ilvl="0" w:tentative="0">
      <w:start w:val="16"/>
      <w:numFmt w:val="decimalHalfWidth"/>
      <w:lvlText w:val="第%1条 "/>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0">
    <w:nsid w:val="DCBA6B53"/>
    <w:multiLevelType w:val="multilevel"/>
    <w:tmpl w:val="DCBA6B53"/>
    <w:lvl w:ilvl="0" w:tentative="0">
      <w:start w:val="15"/>
      <w:numFmt w:val="decimalHalfWidth"/>
      <w:lvlText w:val="第%1条 "/>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1">
    <w:nsid w:val="F4B5D9F5"/>
    <w:multiLevelType w:val="multilevel"/>
    <w:tmpl w:val="F4B5D9F5"/>
    <w:lvl w:ilvl="0" w:tentative="0">
      <w:start w:val="13"/>
      <w:numFmt w:val="decimalHalfWidth"/>
      <w:lvlText w:val="第%1条 "/>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2">
    <w:nsid w:val="0053208E"/>
    <w:multiLevelType w:val="multilevel"/>
    <w:tmpl w:val="0053208E"/>
    <w:lvl w:ilvl="0" w:tentative="0">
      <w:start w:val="1"/>
      <w:numFmt w:val="decimalHalfWidth"/>
      <w:lvlText w:val="第%1条 "/>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3">
    <w:nsid w:val="0248C179"/>
    <w:multiLevelType w:val="multilevel"/>
    <w:tmpl w:val="0248C179"/>
    <w:lvl w:ilvl="0" w:tentative="0">
      <w:start w:val="7"/>
      <w:numFmt w:val="decimalHalfWidth"/>
      <w:lvlText w:val="第%1条 "/>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4">
    <w:nsid w:val="03D62ECE"/>
    <w:multiLevelType w:val="multilevel"/>
    <w:tmpl w:val="03D62ECE"/>
    <w:lvl w:ilvl="0" w:tentative="0">
      <w:start w:val="4"/>
      <w:numFmt w:val="decimalHalfWidth"/>
      <w:lvlText w:val="第%1条 "/>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5">
    <w:nsid w:val="0E640482"/>
    <w:multiLevelType w:val="multilevel"/>
    <w:tmpl w:val="0E640482"/>
    <w:lvl w:ilvl="0" w:tentative="0">
      <w:start w:val="5"/>
      <w:numFmt w:val="decimalHalfWidth"/>
      <w:lvlText w:val="第%1条 "/>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6">
    <w:nsid w:val="2470EC97"/>
    <w:multiLevelType w:val="multilevel"/>
    <w:tmpl w:val="2470EC97"/>
    <w:lvl w:ilvl="0" w:tentative="0">
      <w:start w:val="14"/>
      <w:numFmt w:val="decimalHalfWidth"/>
      <w:lvlText w:val="第%1条 "/>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7">
    <w:nsid w:val="25B654F3"/>
    <w:multiLevelType w:val="multilevel"/>
    <w:tmpl w:val="25B654F3"/>
    <w:lvl w:ilvl="0" w:tentative="0">
      <w:start w:val="5"/>
      <w:numFmt w:val="decimalHalfWidth"/>
      <w:lvlText w:val="第%1条 "/>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8">
    <w:nsid w:val="2A8F537B"/>
    <w:multiLevelType w:val="multilevel"/>
    <w:tmpl w:val="2A8F537B"/>
    <w:lvl w:ilvl="0" w:tentative="0">
      <w:start w:val="9"/>
      <w:numFmt w:val="decimalHalfWidth"/>
      <w:lvlText w:val="第%1条 "/>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9">
    <w:nsid w:val="46A08BB8"/>
    <w:multiLevelType w:val="multilevel"/>
    <w:tmpl w:val="46A08BB8"/>
    <w:lvl w:ilvl="0" w:tentative="0">
      <w:start w:val="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0">
    <w:nsid w:val="4C1BAE26"/>
    <w:multiLevelType w:val="multilevel"/>
    <w:tmpl w:val="4C1BAE26"/>
    <w:lvl w:ilvl="0" w:tentative="0">
      <w:start w:val="1"/>
      <w:numFmt w:val="decimalHalfWidth"/>
      <w:lvlText w:val="第%1条 "/>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1">
    <w:nsid w:val="4D4DC07F"/>
    <w:multiLevelType w:val="multilevel"/>
    <w:tmpl w:val="4D4DC07F"/>
    <w:lvl w:ilvl="0" w:tentative="0">
      <w:start w:val="12"/>
      <w:numFmt w:val="decimalHalfWidth"/>
      <w:lvlText w:val="第%1条 "/>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2">
    <w:nsid w:val="59ADCABA"/>
    <w:multiLevelType w:val="multilevel"/>
    <w:tmpl w:val="59ADCABA"/>
    <w:lvl w:ilvl="0" w:tentative="0">
      <w:start w:val="1"/>
      <w:numFmt w:val="decimalHalfWidth"/>
      <w:lvlText w:val="第%1条 "/>
      <w:lvlJc w:val="left"/>
      <w:pPr>
        <w:ind w:left="0"/>
      </w:pPr>
    </w:lvl>
    <w:lvl w:ilvl="1" w:tentative="0">
      <w:start w:val="2"/>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3">
    <w:nsid w:val="5A241D34"/>
    <w:multiLevelType w:val="multilevel"/>
    <w:tmpl w:val="5A241D34"/>
    <w:lvl w:ilvl="0" w:tentative="0">
      <w:start w:val="10"/>
      <w:numFmt w:val="decimalHalfWidth"/>
      <w:lvlText w:val="第%1条 "/>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4">
    <w:nsid w:val="60382F6E"/>
    <w:multiLevelType w:val="multilevel"/>
    <w:tmpl w:val="60382F6E"/>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5">
    <w:nsid w:val="629F7852"/>
    <w:multiLevelType w:val="multilevel"/>
    <w:tmpl w:val="629F7852"/>
    <w:lvl w:ilvl="0" w:tentative="0">
      <w:start w:val="8"/>
      <w:numFmt w:val="decimalHalfWidth"/>
      <w:lvlText w:val="第%1条 "/>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6">
    <w:nsid w:val="72183CF9"/>
    <w:multiLevelType w:val="multilevel"/>
    <w:tmpl w:val="72183CF9"/>
    <w:lvl w:ilvl="0" w:tentative="0">
      <w:start w:val="6"/>
      <w:numFmt w:val="decimalHalfWidth"/>
      <w:lvlText w:val="第%1条 "/>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7">
    <w:nsid w:val="77ECEA79"/>
    <w:multiLevelType w:val="multilevel"/>
    <w:tmpl w:val="77ECEA79"/>
    <w:lvl w:ilvl="0" w:tentative="0">
      <w:start w:val="7"/>
      <w:numFmt w:val="decimalHalfWidth"/>
      <w:lvlText w:val="第%1条 "/>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8">
    <w:nsid w:val="7C246926"/>
    <w:multiLevelType w:val="multilevel"/>
    <w:tmpl w:val="7C246926"/>
    <w:lvl w:ilvl="0" w:tentative="0">
      <w:start w:val="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12"/>
  </w:num>
  <w:num w:numId="2">
    <w:abstractNumId w:val="8"/>
  </w:num>
  <w:num w:numId="3">
    <w:abstractNumId w:val="22"/>
  </w:num>
  <w:num w:numId="4">
    <w:abstractNumId w:val="6"/>
  </w:num>
  <w:num w:numId="5">
    <w:abstractNumId w:val="4"/>
  </w:num>
  <w:num w:numId="6">
    <w:abstractNumId w:val="14"/>
  </w:num>
  <w:num w:numId="7">
    <w:abstractNumId w:val="17"/>
  </w:num>
  <w:num w:numId="8">
    <w:abstractNumId w:val="26"/>
  </w:num>
  <w:num w:numId="9">
    <w:abstractNumId w:val="13"/>
  </w:num>
  <w:num w:numId="10">
    <w:abstractNumId w:val="0"/>
  </w:num>
  <w:num w:numId="11">
    <w:abstractNumId w:val="18"/>
  </w:num>
  <w:num w:numId="12">
    <w:abstractNumId w:val="23"/>
  </w:num>
  <w:num w:numId="13">
    <w:abstractNumId w:val="7"/>
  </w:num>
  <w:num w:numId="14">
    <w:abstractNumId w:val="21"/>
  </w:num>
  <w:num w:numId="15">
    <w:abstractNumId w:val="11"/>
  </w:num>
  <w:num w:numId="16">
    <w:abstractNumId w:val="16"/>
  </w:num>
  <w:num w:numId="17">
    <w:abstractNumId w:val="10"/>
  </w:num>
  <w:num w:numId="18">
    <w:abstractNumId w:val="9"/>
  </w:num>
  <w:num w:numId="19">
    <w:abstractNumId w:val="2"/>
  </w:num>
  <w:num w:numId="20">
    <w:abstractNumId w:val="20"/>
  </w:num>
  <w:num w:numId="21">
    <w:abstractNumId w:val="24"/>
  </w:num>
  <w:num w:numId="22">
    <w:abstractNumId w:val="15"/>
  </w:num>
  <w:num w:numId="23">
    <w:abstractNumId w:val="19"/>
  </w:num>
  <w:num w:numId="24">
    <w:abstractNumId w:val="3"/>
  </w:num>
  <w:num w:numId="25">
    <w:abstractNumId w:val="28"/>
  </w:num>
  <w:num w:numId="26">
    <w:abstractNumId w:val="27"/>
  </w:num>
  <w:num w:numId="27">
    <w:abstractNumId w:val="5"/>
  </w:num>
  <w:num w:numId="28">
    <w:abstractNumId w:val="25"/>
  </w:num>
  <w:num w:numId="2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亦苒">
    <w15:presenceInfo w15:providerId="WPS Office" w15:userId="3363357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5"/>
  </w:compat>
  <w:rsids>
    <w:rsidRoot w:val="00000000"/>
    <w:rsid w:val="158F12AA"/>
    <w:rsid w:val="41092B0C"/>
    <w:rsid w:val="42A20301"/>
    <w:rsid w:val="54054CD6"/>
    <w:rsid w:val="7CF515A1"/>
    <w:rsid w:val="7F1B75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2"/>
    <w:basedOn w:val="1"/>
    <w:next w:val="1"/>
    <w:qFormat/>
    <w:uiPriority w:val="9"/>
    <w:pPr>
      <w:keepLines/>
      <w:spacing w:before="280" w:beforeAutospacing="0" w:after="280" w:afterAutospacing="0"/>
      <w:jc w:val="center"/>
      <w:outlineLvl w:val="0"/>
    </w:pPr>
    <w:rPr>
      <w:b/>
      <w:color w:val="000000"/>
      <w:sz w:val="36"/>
    </w:rPr>
  </w:style>
  <w:style w:type="paragraph" w:styleId="4">
    <w:name w:val="heading 3"/>
    <w:basedOn w:val="1"/>
    <w:next w:val="1"/>
    <w:qFormat/>
    <w:uiPriority w:val="9"/>
    <w:pPr>
      <w:keepLines/>
      <w:spacing w:before="280" w:beforeAutospacing="0" w:after="280" w:afterAutospacing="0"/>
      <w:outlineLvl w:val="1"/>
    </w:pPr>
    <w:rPr>
      <w:b/>
      <w:color w:val="000000"/>
      <w:sz w:val="27"/>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spacing w:before="100" w:beforeAutospacing="1" w:after="100" w:afterAutospacing="1"/>
    </w:pPr>
  </w:style>
  <w:style w:type="table" w:customStyle="1" w:styleId="11">
    <w:name w:val="Table Normal"/>
    <w:qFormat/>
    <w:uiPriority w:val="59"/>
    <w:tblPr>
      <w:tblCellMar>
        <w:top w:w="0" w:type="dxa"/>
        <w:left w:w="108" w:type="dxa"/>
        <w:bottom w:w="0" w:type="dxa"/>
        <w:right w:w="108" w:type="dxa"/>
      </w:tblCellMar>
    </w:tblPr>
  </w:style>
  <w:style w:type="paragraph" w:customStyle="1" w:styleId="12">
    <w:name w:val="font-fangsong *"/>
    <w:basedOn w:val="1"/>
    <w:qFormat/>
    <w:uiPriority w:val="0"/>
    <w:pPr>
      <w:spacing w:before="100" w:beforeAutospacing="1" w:after="100" w:afterAutospacing="1"/>
    </w:pPr>
    <w:rPr>
      <w:rFonts w:ascii="Simfang" w:hAnsi="Simfang" w:cs="Simfang"/>
    </w:rPr>
  </w:style>
  <w:style w:type="paragraph" w:customStyle="1" w:styleId="13">
    <w:name w:val="font-song *"/>
    <w:basedOn w:val="1"/>
    <w:uiPriority w:val="0"/>
    <w:pPr>
      <w:spacing w:before="100" w:beforeAutospacing="1" w:after="100" w:afterAutospacing="1"/>
    </w:pPr>
    <w:rPr>
      <w:rFonts w:ascii="宋体" w:hAnsi="宋体" w:cs="宋体"/>
    </w:rPr>
  </w:style>
  <w:style w:type="paragraph" w:customStyle="1" w:styleId="14">
    <w:name w:val="font-yahei *"/>
    <w:basedOn w:val="1"/>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7475</Words>
  <Characters>7496</Characters>
  <TotalTime>0</TotalTime>
  <ScaleCrop>false</ScaleCrop>
  <LinksUpToDate>false</LinksUpToDate>
  <CharactersWithSpaces>8107</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2022-03-30T05:35:00Z</dcterms:created>
  <dc:creator>法天使</dc:creator>
  <cp:keywords>特定行业、特定业务,专业分包,一般材料、设备供货,材料设备供货安装,建设工程</cp:keywords>
  <cp:lastModifiedBy>Admin</cp:lastModifiedBy>
  <dcterms:modified xsi:type="dcterms:W3CDTF">2022-04-08T03:06:53Z</dcterms:modified>
  <dc:title>设备采购合同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192F738A08BC4C66903154E56A7D3910</vt:lpwstr>
  </property>
</Properties>
</file>