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排风道采购及施工合同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甲方（购货单位）：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乙方（供货单位）：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上述各方经平等自愿协商，签订本合同以共同遵守。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一、工程名称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项目</w:t>
      </w:r>
      <w:r>
        <w:rPr>
          <w:rFonts w:hint="eastAsia" w:ascii="宋体" w:hAnsi="宋体" w:eastAsia="宋体" w:cs="宋体"/>
          <w:sz w:val="24"/>
          <w:szCs w:val="24"/>
          <w:u w:val="single"/>
        </w:rPr>
        <w:t>        </w:t>
      </w:r>
      <w:r>
        <w:rPr>
          <w:rFonts w:hint="eastAsia" w:ascii="宋体" w:hAnsi="宋体" w:eastAsia="宋体" w:cs="宋体"/>
          <w:sz w:val="24"/>
          <w:szCs w:val="24"/>
        </w:rPr>
        <w:t>住宅楼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二、工程地点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三、承包范围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依据</w:t>
      </w:r>
      <w:r>
        <w:rPr>
          <w:rFonts w:hint="eastAsia" w:ascii="宋体" w:hAnsi="宋体" w:eastAsia="宋体" w:cs="宋体"/>
          <w:sz w:val="24"/>
          <w:szCs w:val="24"/>
          <w:u w:val="single"/>
        </w:rPr>
        <w:t>        </w:t>
      </w:r>
      <w:r>
        <w:rPr>
          <w:rFonts w:hint="eastAsia" w:ascii="宋体" w:hAnsi="宋体" w:eastAsia="宋体" w:cs="宋体"/>
          <w:sz w:val="24"/>
          <w:szCs w:val="24"/>
        </w:rPr>
        <w:t>项目</w:t>
      </w:r>
      <w:r>
        <w:rPr>
          <w:rFonts w:hint="eastAsia" w:ascii="宋体" w:hAnsi="宋体" w:eastAsia="宋体" w:cs="宋体"/>
          <w:sz w:val="24"/>
          <w:szCs w:val="24"/>
          <w:u w:val="single"/>
        </w:rPr>
        <w:t>        </w:t>
      </w:r>
      <w:r>
        <w:rPr>
          <w:rFonts w:hint="eastAsia" w:ascii="宋体" w:hAnsi="宋体" w:eastAsia="宋体" w:cs="宋体"/>
          <w:sz w:val="24"/>
          <w:szCs w:val="24"/>
        </w:rPr>
        <w:t>住宅楼施工图纸厨房、卫生间所有排（烟）风道。</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四、承包方式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采用包工包料、包质量、包工期、包安全文明施工的方式。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1.乙方应向甲方提供该产品符合国家有关规定的技术质量资料：相关检测报告、质量合格证、生产厂家资质证书、产品专利证书、质量承诺书以及符合国家相关规定施工技术资料等。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保证所供产品与设计图纸、《住宅厨卫排风道》图集的要求品种、规格一致，且达到国家质量标准的要求，整体风道系统使用时无串烟、串味、导流不畅、排风效果不良的质量问题。否则乙方必须无条件返工并承担所有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保证风道水泥管体所用厚质耐碱玻纤网格布的质量应达到国家相关的标准要求。水泥管体外观应无孔洞、裂缝、破损、内外管壁粗糙、端部毛边、组配件缺损等问题。外形尺寸偏差、管体承载力等指标除符合《住宅厨卫排风道》图集要求外，对角线、垂直度、直线度尺寸偏差标准在+3MM以内。外表面平整度控制在+2MM以内。安装时，保证定位准确、保证无上下错位现象，整体排风道垂直度偏差、单层垂直度偏差均在国家相关标准的允许偏差范围内，排风道与楼板的缝隙填堵、插捣密实，无孔洞、插捣不实现象，封堵表面平整且不得超出结构顶板底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六、供货要求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在签订合同后，乙方按甲方确认规格、数量、材料进场时间分批、连续供货至施工现场组织施工。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七、工期要求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遵守甲方的工期进度要求。1#2#3#楼施工工期为</w:t>
      </w:r>
      <w:r>
        <w:rPr>
          <w:rFonts w:hint="eastAsia" w:ascii="宋体" w:hAnsi="宋体" w:eastAsia="宋体" w:cs="宋体"/>
          <w:sz w:val="24"/>
          <w:szCs w:val="24"/>
          <w:u w:val="single"/>
        </w:rPr>
        <w:t>    </w:t>
      </w:r>
      <w:r>
        <w:rPr>
          <w:rFonts w:hint="eastAsia" w:ascii="宋体" w:hAnsi="宋体" w:eastAsia="宋体" w:cs="宋体"/>
          <w:sz w:val="24"/>
          <w:szCs w:val="24"/>
        </w:rPr>
        <w:t>天。4#5#楼工期另行确定。</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本合同为固定单价合同，具体综合单价如下：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1#2#3#楼规格/单价：240mm×300mm×3m（3.3m）每根人民币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4#5#楼规格/单价： 一层240mm×320mm×3.6m每根人民币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卫生间240mm×320mm×3m每根人民币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厨房间240mm×400mm×3m每根人民币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上单价具体包括：排风道成品费用、运输费、运输损耗、安装损耗、搬运损耗、安装人工费（含吊模、细石混凝土封堵费用）、现场二次搬运费及工具费、现场保管、成品保护费用。以上费用外的其他费用甲方不再另行支付。</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九、工程款总价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十、工程款支付及时间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乙方的工程款甲方不付现金，用5#楼的商品房抵算乙方的工程款，1#2#3#楼施工、验收完毕后核定工程款由甲方财务给乙方挂账一次（商品房的价格按甲方挂牌价格计算）。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十一、违约责任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产品进场经现场验收不符合质量要求的，乙方无条件换、退货并赔偿甲方由此受到的损失。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乙方延迟交货、故意延迟施工工期的，甲方有权解除合同并处壹万元每次的罚款。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十二、争议解决方式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十三、其他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6C53"/>
    <w:rsid w:val="011700B7"/>
    <w:rsid w:val="016C2178"/>
    <w:rsid w:val="01CF6596"/>
    <w:rsid w:val="02B81EB1"/>
    <w:rsid w:val="044005BE"/>
    <w:rsid w:val="05631D4F"/>
    <w:rsid w:val="05C52FB7"/>
    <w:rsid w:val="0B65306F"/>
    <w:rsid w:val="0E176F64"/>
    <w:rsid w:val="0EDF7064"/>
    <w:rsid w:val="1089754A"/>
    <w:rsid w:val="117A5520"/>
    <w:rsid w:val="14594ADB"/>
    <w:rsid w:val="14F6178C"/>
    <w:rsid w:val="14FA3B93"/>
    <w:rsid w:val="15ED07E8"/>
    <w:rsid w:val="172E772F"/>
    <w:rsid w:val="178A1B88"/>
    <w:rsid w:val="183742BC"/>
    <w:rsid w:val="193733FF"/>
    <w:rsid w:val="196C7107"/>
    <w:rsid w:val="197C0FAC"/>
    <w:rsid w:val="1A6575C0"/>
    <w:rsid w:val="1CE300F7"/>
    <w:rsid w:val="1DF24708"/>
    <w:rsid w:val="1EC569AC"/>
    <w:rsid w:val="1ED63A1D"/>
    <w:rsid w:val="20F0405B"/>
    <w:rsid w:val="2227319F"/>
    <w:rsid w:val="223E3055"/>
    <w:rsid w:val="25C13C5F"/>
    <w:rsid w:val="26E80887"/>
    <w:rsid w:val="26FB5529"/>
    <w:rsid w:val="27285CC7"/>
    <w:rsid w:val="277B692A"/>
    <w:rsid w:val="283B0B3B"/>
    <w:rsid w:val="2CFE5663"/>
    <w:rsid w:val="2D13514A"/>
    <w:rsid w:val="2E182686"/>
    <w:rsid w:val="31BB707E"/>
    <w:rsid w:val="31BF6A02"/>
    <w:rsid w:val="341E32FE"/>
    <w:rsid w:val="372975D8"/>
    <w:rsid w:val="37A202C2"/>
    <w:rsid w:val="38D7248D"/>
    <w:rsid w:val="393C6139"/>
    <w:rsid w:val="399B6873"/>
    <w:rsid w:val="39CE1D19"/>
    <w:rsid w:val="3A5C0BBE"/>
    <w:rsid w:val="3B692335"/>
    <w:rsid w:val="3C0633FD"/>
    <w:rsid w:val="3C0E0CCC"/>
    <w:rsid w:val="40564740"/>
    <w:rsid w:val="41C1778D"/>
    <w:rsid w:val="42524786"/>
    <w:rsid w:val="42886B5C"/>
    <w:rsid w:val="42BE320E"/>
    <w:rsid w:val="42C40756"/>
    <w:rsid w:val="43622601"/>
    <w:rsid w:val="43993871"/>
    <w:rsid w:val="454455A0"/>
    <w:rsid w:val="482C1F40"/>
    <w:rsid w:val="497B6BA2"/>
    <w:rsid w:val="4A613352"/>
    <w:rsid w:val="4AB649EA"/>
    <w:rsid w:val="4B967FFB"/>
    <w:rsid w:val="4BC533D6"/>
    <w:rsid w:val="4C747AA6"/>
    <w:rsid w:val="4DFE3F2E"/>
    <w:rsid w:val="4E1605DB"/>
    <w:rsid w:val="4F9923C0"/>
    <w:rsid w:val="518E3EFF"/>
    <w:rsid w:val="52D2790C"/>
    <w:rsid w:val="53317DC4"/>
    <w:rsid w:val="53560B84"/>
    <w:rsid w:val="5569353D"/>
    <w:rsid w:val="55B55277"/>
    <w:rsid w:val="598D28B2"/>
    <w:rsid w:val="5A2054E3"/>
    <w:rsid w:val="5ABA5486"/>
    <w:rsid w:val="5AE94E61"/>
    <w:rsid w:val="5C803337"/>
    <w:rsid w:val="5D673200"/>
    <w:rsid w:val="5EE8661A"/>
    <w:rsid w:val="61034F01"/>
    <w:rsid w:val="61121040"/>
    <w:rsid w:val="62211324"/>
    <w:rsid w:val="62E11002"/>
    <w:rsid w:val="62FC3CAE"/>
    <w:rsid w:val="647E4E77"/>
    <w:rsid w:val="64EF031B"/>
    <w:rsid w:val="661C6C53"/>
    <w:rsid w:val="67153A73"/>
    <w:rsid w:val="6866522B"/>
    <w:rsid w:val="68B47D66"/>
    <w:rsid w:val="6A326C46"/>
    <w:rsid w:val="6E7571D2"/>
    <w:rsid w:val="6F144006"/>
    <w:rsid w:val="72353488"/>
    <w:rsid w:val="7380096A"/>
    <w:rsid w:val="73CF427D"/>
    <w:rsid w:val="781B3929"/>
    <w:rsid w:val="79356A3F"/>
    <w:rsid w:val="79AA216E"/>
    <w:rsid w:val="7AAF51F2"/>
    <w:rsid w:val="7BAB28AB"/>
    <w:rsid w:val="7BCB65E1"/>
    <w:rsid w:val="7CCE4082"/>
    <w:rsid w:val="7CF67E2B"/>
    <w:rsid w:val="7DFF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2019-06-11T09:58:00Z</dcterms:created>
  <dc:creator>Administrator</dc:creator>
  <cp:lastModifiedBy>Administrator</cp:lastModifiedBy>
  <dcterms:modified xsi:type="dcterms:W3CDTF">2019-06-14T02:30:57Z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