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海南省兼职导游服务费结算协议书</w:t>
      </w:r>
    </w:p>
    <w:p>
      <w:pPr>
        <w:pStyle w:val="3"/>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甲方（聘用方）：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营业执照号：</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地址：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联系电话：</w:t>
      </w:r>
    </w:p>
    <w:p>
      <w:pPr>
        <w:pStyle w:val="3"/>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乙方（导游）：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导游证号：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联系电话：</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根据《中华人民共和国旅游法》、《海南省旅游条例》、《海南经济特区旅行社管理规定》、《海南经济特区导游人员管理规定》，甲乙双方经协商达成如下协议：</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一、甲方聘用乙方从事导游服务业务，具体任务详见《海南省旅游电子行程表》或有关附件。</w:t>
      </w:r>
    </w:p>
    <w:p>
      <w:pPr>
        <w:pStyle w:val="3"/>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甲方须在《海南省旅游电子行程表》中明确乙方的服务天数、服务费用标准和本协议约定的结算方式。</w:t>
      </w:r>
    </w:p>
    <w:p>
      <w:pPr>
        <w:pStyle w:val="3"/>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如有签错或中途取消团队或更换导游，应及时修改《海南省旅游电子行程表》。</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二、乙方为甲方提供导游服务</w:t>
      </w:r>
      <w:r>
        <w:rPr>
          <w:rFonts w:ascii="宋体" w:hAnsi="宋体" w:cs="宋体"/>
          <w:color w:val="000000"/>
          <w:sz w:val="24"/>
          <w:u w:val="single"/>
        </w:rPr>
        <w:t>    </w:t>
      </w:r>
      <w:r>
        <w:rPr>
          <w:rFonts w:ascii="宋体" w:hAnsi="宋体" w:cs="宋体"/>
          <w:color w:val="000000"/>
          <w:sz w:val="24"/>
        </w:rPr>
        <w:t>天，甲方支付乙方导游服务费人民币</w:t>
      </w:r>
      <w:r>
        <w:rPr>
          <w:rFonts w:ascii="宋体" w:hAnsi="宋体" w:cs="宋体"/>
          <w:color w:val="000000"/>
          <w:sz w:val="24"/>
          <w:u w:val="single"/>
        </w:rPr>
        <w:t>    </w:t>
      </w:r>
      <w:r>
        <w:rPr>
          <w:rFonts w:ascii="宋体" w:hAnsi="宋体" w:cs="宋体"/>
          <w:color w:val="000000"/>
          <w:sz w:val="24"/>
        </w:rPr>
        <w:t>元/天，合计人民币</w:t>
      </w:r>
      <w:r>
        <w:rPr>
          <w:rFonts w:ascii="宋体" w:hAnsi="宋体" w:cs="宋体"/>
          <w:color w:val="000000"/>
          <w:sz w:val="24"/>
          <w:u w:val="single"/>
        </w:rPr>
        <w:t>    </w:t>
      </w:r>
      <w:r>
        <w:rPr>
          <w:rFonts w:ascii="宋体" w:hAnsi="宋体" w:cs="宋体"/>
          <w:color w:val="000000"/>
          <w:sz w:val="24"/>
        </w:rPr>
        <w:t>元。</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三、支付方式</w:t>
      </w:r>
    </w:p>
    <w:p>
      <w:pPr>
        <w:pStyle w:val="3"/>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甲方在乙方完成聘用任务后</w:t>
      </w:r>
      <w:r>
        <w:rPr>
          <w:rFonts w:ascii="宋体" w:hAnsi="宋体" w:cs="宋体"/>
          <w:color w:val="000000"/>
          <w:sz w:val="24"/>
          <w:u w:val="single"/>
        </w:rPr>
        <w:t>    </w:t>
      </w:r>
      <w:r>
        <w:rPr>
          <w:rFonts w:ascii="宋体" w:hAnsi="宋体" w:cs="宋体"/>
          <w:color w:val="000000"/>
          <w:sz w:val="24"/>
        </w:rPr>
        <w:t>个工作日内甲方根据《海南省旅游电子行程表》通过海南银行“海南省兼职导游服务结算平台”支付导游服务费。甲方转账需向海南银行提供电子行程单编号和乙方入账账户信息。</w:t>
      </w:r>
    </w:p>
    <w:p>
      <w:pPr>
        <w:pStyle w:val="3"/>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海南省兼职导游服务费结算凭据</w:t>
      </w:r>
    </w:p>
    <w:tbl>
      <w:tblPr>
        <w:tblStyle w:val="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89"/>
        <w:gridCol w:w="857"/>
        <w:gridCol w:w="857"/>
        <w:gridCol w:w="675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导游姓名</w:t>
            </w:r>
          </w:p>
        </w:tc>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导游证号</w:t>
            </w:r>
          </w:p>
        </w:tc>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旅行团号</w:t>
            </w:r>
          </w:p>
        </w:tc>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电子行程单号</w:t>
            </w:r>
          </w:p>
        </w:tc>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出团起止时间</w:t>
            </w:r>
          </w:p>
        </w:tc>
        <w:tc>
          <w:tcPr>
            <w:tcW w:w="45"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日，天数（</w:t>
            </w:r>
            <w:r>
              <w:rPr>
                <w:rFonts w:ascii="宋体" w:hAnsi="宋体" w:cs="宋体"/>
                <w:color w:val="000000"/>
                <w:sz w:val="24"/>
                <w:u w:val="single"/>
              </w:rPr>
              <w:t>    </w:t>
            </w:r>
            <w:r>
              <w:rPr>
                <w:rFonts w:ascii="宋体" w:hAnsi="宋体" w:cs="宋体"/>
                <w:color w:val="000000"/>
                <w:sz w:val="24"/>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导游服务费</w:t>
            </w:r>
          </w:p>
        </w:tc>
        <w:tc>
          <w:tcPr>
            <w:tcW w:w="45"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服务费标准：</w:t>
            </w:r>
            <w:r>
              <w:rPr>
                <w:rFonts w:ascii="宋体" w:hAnsi="宋体" w:cs="宋体"/>
                <w:color w:val="000000"/>
                <w:sz w:val="24"/>
                <w:u w:val="single"/>
              </w:rPr>
              <w:t>        </w:t>
            </w:r>
            <w:r>
              <w:rPr>
                <w:rFonts w:ascii="宋体" w:hAnsi="宋体" w:cs="宋体"/>
                <w:color w:val="000000"/>
                <w:sz w:val="24"/>
              </w:rPr>
              <w:t> 元/天</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服务费总额：</w:t>
            </w:r>
            <w:r>
              <w:rPr>
                <w:rFonts w:ascii="宋体" w:hAnsi="宋体" w:cs="宋体"/>
                <w:color w:val="000000"/>
                <w:sz w:val="24"/>
                <w:u w:val="single"/>
              </w:rPr>
              <w:t>        </w:t>
            </w:r>
            <w:r>
              <w:rPr>
                <w:rFonts w:ascii="宋体" w:hAnsi="宋体" w:cs="宋体"/>
                <w:color w:val="000000"/>
                <w:sz w:val="24"/>
              </w:rPr>
              <w:t>仟</w:t>
            </w:r>
            <w:r>
              <w:rPr>
                <w:rFonts w:ascii="宋体" w:hAnsi="宋体" w:cs="宋体"/>
                <w:color w:val="000000"/>
                <w:sz w:val="24"/>
                <w:u w:val="single"/>
              </w:rPr>
              <w:t>        </w:t>
            </w:r>
            <w:r>
              <w:rPr>
                <w:rFonts w:ascii="宋体" w:hAnsi="宋体" w:cs="宋体"/>
                <w:color w:val="000000"/>
                <w:sz w:val="24"/>
              </w:rPr>
              <w:t>佰</w:t>
            </w:r>
            <w:r>
              <w:rPr>
                <w:rFonts w:ascii="宋体" w:hAnsi="宋体" w:cs="宋体"/>
                <w:color w:val="000000"/>
                <w:sz w:val="24"/>
                <w:u w:val="single"/>
              </w:rPr>
              <w:t>        </w:t>
            </w:r>
            <w:r>
              <w:rPr>
                <w:rFonts w:ascii="宋体" w:hAnsi="宋体" w:cs="宋体"/>
                <w:color w:val="000000"/>
                <w:sz w:val="24"/>
              </w:rPr>
              <w:t>拾</w:t>
            </w:r>
            <w:r>
              <w:rPr>
                <w:rFonts w:ascii="宋体" w:hAnsi="宋体" w:cs="宋体"/>
                <w:color w:val="000000"/>
                <w:sz w:val="24"/>
                <w:u w:val="single"/>
              </w:rPr>
              <w:t>        </w:t>
            </w:r>
            <w:r>
              <w:rPr>
                <w:rFonts w:ascii="宋体" w:hAnsi="宋体" w:cs="宋体"/>
                <w:color w:val="000000"/>
                <w:sz w:val="24"/>
              </w:rPr>
              <w:t>元   ¥ ：</w:t>
            </w:r>
            <w:r>
              <w:rPr>
                <w:rFonts w:ascii="宋体" w:hAnsi="宋体" w:cs="宋体"/>
                <w:color w:val="000000"/>
                <w:sz w:val="24"/>
                <w:u w:val="single"/>
              </w:rPr>
              <w:t>    </w:t>
            </w:r>
            <w:r>
              <w:rPr>
                <w:rFonts w:ascii="宋体" w:hAnsi="宋体" w:cs="宋体"/>
                <w:color w:val="000000"/>
                <w:sz w:val="24"/>
              </w:rPr>
              <w:t>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账户信息</w:t>
            </w:r>
          </w:p>
        </w:tc>
        <w:tc>
          <w:tcPr>
            <w:tcW w:w="30" w:type="dxa"/>
            <w:gridSpan w:val="2"/>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甲方对公账户信息</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单位名称：</w:t>
            </w:r>
            <w:r>
              <w:rPr>
                <w:rFonts w:ascii="宋体" w:hAnsi="宋体" w:cs="宋体"/>
                <w:color w:val="000000"/>
                <w:sz w:val="24"/>
                <w:u w:val="single"/>
              </w:rPr>
              <w:t>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tc>
        <w:tc>
          <w:tcPr>
            <w:tcW w:w="15"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乙方海南银行个人账户信息</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姓名：</w:t>
            </w:r>
            <w:r>
              <w:rPr>
                <w:rFonts w:ascii="宋体" w:hAnsi="宋体" w:cs="宋体"/>
                <w:color w:val="000000"/>
                <w:sz w:val="24"/>
                <w:u w:val="single"/>
              </w:rPr>
              <w:t>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tc>
      </w:tr>
    </w:tbl>
    <w:p>
      <w:pPr>
        <w:pStyle w:val="3"/>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操作流程：甲方对公账户→海南银行清算账户（海南省兼职导游服务费结算平台）→乙方海南银行个人账户</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四、海南省兼职导游服务费结算平台账号信息</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开户行：海南银行</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账户名称：</w:t>
      </w:r>
      <w:r>
        <w:rPr>
          <w:rFonts w:ascii="宋体" w:hAnsi="宋体" w:cs="宋体"/>
          <w:color w:val="000000"/>
          <w:sz w:val="24"/>
          <w:u w:val="single"/>
        </w:rPr>
        <w:t>        </w:t>
      </w:r>
      <w:r>
        <w:rPr>
          <w:rFonts w:ascii="宋体" w:hAnsi="宋体" w:cs="宋体"/>
          <w:color w:val="000000"/>
          <w:sz w:val="24"/>
        </w:rPr>
        <w:t>。</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r>
        <w:rPr>
          <w:rFonts w:ascii="宋体" w:hAnsi="宋体" w:cs="宋体"/>
          <w:color w:val="000000"/>
          <w:sz w:val="24"/>
        </w:rPr>
        <w:t>。</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五、本协议的附件为本协议不可分割的组成部分，与协议正文具有同等法律效力。本协议未尽事宜，按《中华人民共和国旅游法》和《海南经济特区导游人员管理规定》及相关法规办理。</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六、本协议自双方签署之日起生效。</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七、本协议一式两份，甲乙双方各执一份，甲方须在3个工作日内将其所执协议以电子影像形式上传至海南省旅游协会指定平台。</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3"/>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甲方（盖章）：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3"/>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乙方（签字）：</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签订日期：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5207"/>
    <w:multiLevelType w:val="multilevel"/>
    <w:tmpl w:val="A0F05207"/>
    <w:lvl w:ilvl="0" w:tentative="0">
      <w:start w:val="1"/>
      <w:numFmt w:val="chineseCountingThousand"/>
      <w:lvlText w:val="%1、"/>
      <w:lvlJc w:val="left"/>
      <w:pPr>
        <w:ind w:left="0"/>
      </w:pPr>
    </w:lvl>
    <w:lvl w:ilvl="1" w:tentative="0">
      <w:start w:val="1"/>
      <w:numFmt w:val="chineseCountingThousand"/>
      <w:lvlText w:val="（%2）"/>
      <w:lvlJc w:val="left"/>
      <w:pPr>
        <w:ind w:left="0"/>
      </w:pPr>
    </w:lvl>
    <w:lvl w:ilvl="2" w:tentative="0">
      <w:start w:val="1"/>
      <w:numFmt w:val="decimalHalfWidth"/>
      <w:lvlText w:val="%3、"/>
      <w:lvlJc w:val="left"/>
      <w:pPr>
        <w:ind w:left="0"/>
      </w:pPr>
    </w:lvl>
    <w:lvl w:ilvl="3" w:tentative="0">
      <w:start w:val="1"/>
      <w:numFmt w:val="decimalHalfWidth"/>
      <w:lvlText w:val="（%4）"/>
      <w:lvlJc w:val="left"/>
      <w:pPr>
        <w:ind w:left="0"/>
      </w:pPr>
    </w:lvl>
    <w:lvl w:ilvl="4" w:tentative="0">
      <w:start w:val="1"/>
      <w:numFmt w:val="chineseCountingThousand"/>
      <w:lvlText w:val="（%5）"/>
      <w:lvlJc w:val="left"/>
      <w:pPr>
        <w:ind w:left="0"/>
      </w:pPr>
    </w:lvl>
    <w:lvl w:ilvl="5" w:tentative="0">
      <w:start w:val="1"/>
      <w:numFmt w:val="decimalHalfWidth"/>
      <w:lvlText w:val="%6、"/>
      <w:lvlJc w:val="left"/>
      <w:pPr>
        <w:ind w:left="0"/>
      </w:pPr>
    </w:lvl>
    <w:lvl w:ilvl="6" w:tentative="0">
      <w:start w:val="1"/>
      <w:numFmt w:val="decimalHalfWidth"/>
      <w:lvlText w:val="（%7）"/>
      <w:lvlJc w:val="left"/>
      <w:pPr>
        <w:ind w:left="0"/>
      </w:pPr>
    </w:lvl>
    <w:lvl w:ilvl="7" w:tentative="0">
      <w:start w:val="1"/>
      <w:numFmt w:val="chineseCountingThousand"/>
      <w:lvlText w:val="（%8）"/>
      <w:lvlJc w:val="left"/>
      <w:pPr>
        <w:ind w:left="0"/>
      </w:pPr>
    </w:lvl>
    <w:lvl w:ilvl="8" w:tentative="0">
      <w:start w:val="1"/>
      <w:numFmt w:val="decimalHalfWidth"/>
      <w:lvlText w:val="%9、"/>
      <w:lvlJc w:val="left"/>
      <w:pPr>
        <w:ind w:left="0"/>
      </w:pPr>
    </w:lvl>
  </w:abstractNum>
  <w:abstractNum w:abstractNumId="1">
    <w:nsid w:val="F689643B"/>
    <w:multiLevelType w:val="multilevel"/>
    <w:tmpl w:val="F689643B"/>
    <w:lvl w:ilvl="0" w:tentative="0">
      <w:start w:val="1"/>
      <w:numFmt w:val="chineseCountingThousand"/>
      <w:lvlText w:val="%1、"/>
      <w:lvlJc w:val="left"/>
      <w:pPr>
        <w:ind w:left="0"/>
      </w:pPr>
    </w:lvl>
    <w:lvl w:ilvl="1" w:tentative="0">
      <w:start w:val="1"/>
      <w:numFmt w:val="chineseCountingThousand"/>
      <w:lvlText w:val="（%2）"/>
      <w:lvlJc w:val="left"/>
      <w:pPr>
        <w:ind w:left="0"/>
      </w:pPr>
    </w:lvl>
    <w:lvl w:ilvl="2" w:tentative="0">
      <w:start w:val="1"/>
      <w:numFmt w:val="decimalHalfWidth"/>
      <w:lvlText w:val="%3、"/>
      <w:lvlJc w:val="left"/>
      <w:pPr>
        <w:ind w:left="0"/>
      </w:pPr>
    </w:lvl>
    <w:lvl w:ilvl="3" w:tentative="0">
      <w:start w:val="1"/>
      <w:numFmt w:val="decimalHalfWidth"/>
      <w:lvlText w:val="（%4）"/>
      <w:lvlJc w:val="left"/>
      <w:pPr>
        <w:ind w:left="0"/>
      </w:pPr>
    </w:lvl>
    <w:lvl w:ilvl="4" w:tentative="0">
      <w:start w:val="1"/>
      <w:numFmt w:val="chineseCountingThousand"/>
      <w:lvlText w:val="（%5）"/>
      <w:lvlJc w:val="left"/>
      <w:pPr>
        <w:ind w:left="0"/>
      </w:pPr>
    </w:lvl>
    <w:lvl w:ilvl="5" w:tentative="0">
      <w:start w:val="1"/>
      <w:numFmt w:val="decimalHalfWidth"/>
      <w:lvlText w:val="%6、"/>
      <w:lvlJc w:val="left"/>
      <w:pPr>
        <w:ind w:left="0"/>
      </w:pPr>
    </w:lvl>
    <w:lvl w:ilvl="6" w:tentative="0">
      <w:start w:val="1"/>
      <w:numFmt w:val="decimalHalfWidth"/>
      <w:lvlText w:val="（%7）"/>
      <w:lvlJc w:val="left"/>
      <w:pPr>
        <w:ind w:left="0"/>
      </w:pPr>
    </w:lvl>
    <w:lvl w:ilvl="7" w:tentative="0">
      <w:start w:val="1"/>
      <w:numFmt w:val="chineseCountingThousand"/>
      <w:lvlText w:val="（%8）"/>
      <w:lvlJc w:val="left"/>
      <w:pPr>
        <w:ind w:left="0"/>
      </w:pPr>
    </w:lvl>
    <w:lvl w:ilvl="8" w:tentative="0">
      <w:start w:val="1"/>
      <w:numFmt w:val="decimalHalfWidth"/>
      <w:lvlText w:val="%9、"/>
      <w:lvlJc w:val="left"/>
      <w:pPr>
        <w:ind w:left="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62637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pPr>
  </w:style>
  <w:style w:type="table" w:customStyle="1" w:styleId="6">
    <w:name w:val="Table Normal"/>
    <w:uiPriority w:val="59"/>
    <w:tblPr>
      <w:tblCellMar>
        <w:top w:w="0" w:type="dxa"/>
        <w:left w:w="108" w:type="dxa"/>
        <w:bottom w:w="0" w:type="dxa"/>
        <w:right w:w="108" w:type="dxa"/>
      </w:tblCellMar>
    </w:tblPr>
  </w:style>
  <w:style w:type="paragraph" w:customStyle="1" w:styleId="7">
    <w:name w:val="font-fangsong *"/>
    <w:basedOn w:val="1"/>
    <w:uiPriority w:val="0"/>
    <w:pPr>
      <w:spacing w:before="100" w:beforeAutospacing="1" w:after="100" w:afterAutospacing="1"/>
    </w:pPr>
    <w:rPr>
      <w:rFonts w:ascii="Simfang" w:hAnsi="Simfang" w:cs="Simfang"/>
    </w:rPr>
  </w:style>
  <w:style w:type="paragraph" w:customStyle="1" w:styleId="8">
    <w:name w:val="font-song *"/>
    <w:basedOn w:val="1"/>
    <w:uiPriority w:val="0"/>
    <w:pPr>
      <w:spacing w:before="100" w:beforeAutospacing="1" w:after="100" w:afterAutospacing="1"/>
    </w:pPr>
    <w:rPr>
      <w:rFonts w:ascii="宋体" w:hAnsi="宋体" w:cs="宋体"/>
    </w:rPr>
  </w:style>
  <w:style w:type="paragraph" w:customStyle="1" w:styleId="9">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769</Words>
  <Characters>769</Characters>
  <TotalTime>0</TotalTime>
  <ScaleCrop>false</ScaleCrop>
  <LinksUpToDate>false</LinksUpToDate>
  <CharactersWithSpaces>1039</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2022-07-25T06:07:09Z</dcterms:created>
  <dc:creator>法天使</dc:creator>
  <cp:keywords>导游个人提供服务（一次服务）;特定行业、特定业务;导游服务;旅游服务及旅游业内合作</cp:keywords>
  <cp:lastModifiedBy>万律</cp:lastModifiedBy>
  <dcterms:modified xsi:type="dcterms:W3CDTF">2022-07-25T06:07:16Z</dcterms:modified>
  <dc:title>海南省兼职导游服务费结算协议书（海南省2017版）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CB8A52869E4048CA970912CF0C45AE94</vt:lpwstr>
  </property>
</Properties>
</file>