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  <w:sz w:val="36"/>
        </w:rPr>
      </w:pPr>
      <w:r>
        <w:rPr>
          <w:rFonts w:ascii="Simsun" w:hAnsi="Simsun" w:cs="Simsun"/>
          <w:sz w:val="36"/>
          <w:u w:val="single"/>
        </w:rPr>
        <w:t>请填写主体名称</w:t>
      </w:r>
      <w:r>
        <w:rPr>
          <w:rFonts w:ascii="Simsun" w:hAnsi="Simsun" w:cs="Simsun"/>
          <w:sz w:val="36"/>
        </w:rPr>
        <w:t>股东会会议决议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会议时间：</w:t>
      </w:r>
      <w:r>
        <w:rPr>
          <w:rFonts w:ascii="Simsun" w:hAnsi="Simsun" w:cs="Simsun"/>
          <w:color w:val="000000"/>
          <w:sz w:val="24"/>
          <w:u w:val="single"/>
        </w:rPr>
        <w:t xml:space="preserve">  年  月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  <w:u w:val="single"/>
        </w:rPr>
        <w:t>会议形式：网络视频会议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应出席会议股东：</w:t>
      </w:r>
      <w:r>
        <w:rPr>
          <w:rFonts w:ascii="Simsun" w:hAnsi="Simsun" w:cs="Simsun"/>
          <w:color w:val="000000"/>
          <w:sz w:val="24"/>
          <w:u w:val="single"/>
        </w:rPr>
        <w:t>请填充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实际到会股东：</w:t>
      </w:r>
      <w:r>
        <w:rPr>
          <w:rFonts w:ascii="Simsun" w:hAnsi="Simsun" w:cs="Simsun"/>
          <w:color w:val="000000"/>
          <w:sz w:val="24"/>
          <w:u w:val="single"/>
        </w:rPr>
        <w:t>请填充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本次会议审议并经代表</w:t>
      </w:r>
      <w:r>
        <w:rPr>
          <w:rFonts w:ascii="Simsun" w:hAnsi="Simsun" w:cs="Simsun"/>
          <w:color w:val="000000"/>
          <w:sz w:val="24"/>
          <w:u w:val="single"/>
        </w:rPr>
        <w:t>__%（百分之__）表决权</w:t>
      </w:r>
      <w:r>
        <w:rPr>
          <w:rFonts w:ascii="Simsun" w:hAnsi="Simsun" w:cs="Simsun"/>
          <w:color w:val="000000"/>
          <w:sz w:val="24"/>
        </w:rPr>
        <w:t>的股东通过了公司增资方案。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增资方案主要内容为：</w:t>
      </w:r>
    </w:p>
    <w:p>
      <w:pPr>
        <w:pStyle w:val="Heading3"/>
        <w:numPr>
          <w:ilvl w:val="0"/>
          <w:numId w:val="1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增资金额</w:t>
      </w:r>
    </w:p>
    <w:p>
      <w:pPr>
        <w:pStyle w:val="NormalWeb"/>
        <w:numPr>
          <w:ilvl w:val="1"/>
          <w:numId w:val="1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公司注册资本</w:t>
      </w:r>
      <w:r>
        <w:rPr>
          <w:rFonts w:ascii="Simsun" w:hAnsi="Simsun" w:cs="Simsun"/>
          <w:color w:val="000000"/>
          <w:sz w:val="24"/>
          <w:u w:val="single"/>
        </w:rPr>
        <w:t>由人民币__元增加至人民币__元</w:t>
      </w:r>
      <w:r>
        <w:rPr>
          <w:rFonts w:ascii="Simsun" w:hAnsi="Simsun" w:cs="Simsun"/>
          <w:color w:val="000000"/>
          <w:sz w:val="24"/>
        </w:rPr>
        <w:t>，本次新增注册资本</w:t>
      </w:r>
      <w:r>
        <w:rPr>
          <w:rFonts w:ascii="Simsun" w:hAnsi="Simsun" w:cs="Simsun"/>
          <w:color w:val="000000"/>
          <w:sz w:val="24"/>
          <w:u w:val="single"/>
        </w:rPr>
        <w:t>人民币  元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Heading3"/>
        <w:numPr>
          <w:ilvl w:val="0"/>
          <w:numId w:val="1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增资价格</w:t>
      </w:r>
    </w:p>
    <w:p>
      <w:pPr>
        <w:pStyle w:val="NormalWeb"/>
        <w:numPr>
          <w:ilvl w:val="1"/>
          <w:numId w:val="1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本次增资价格为每一元注册资本对应</w:t>
      </w:r>
      <w:r>
        <w:rPr>
          <w:rFonts w:ascii="Simsun" w:hAnsi="Simsun" w:cs="Simsun"/>
          <w:color w:val="000000"/>
          <w:sz w:val="24"/>
          <w:u w:val="single"/>
        </w:rPr>
        <w:t>人民币  元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Heading3"/>
        <w:numPr>
          <w:ilvl w:val="0"/>
          <w:numId w:val="15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新增注册资本的出资</w:t>
      </w:r>
    </w:p>
    <w:p>
      <w:pPr>
        <w:pStyle w:val="NormalWeb"/>
        <w:numPr>
          <w:ilvl w:val="1"/>
          <w:numId w:val="15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本次增资的认缴方：</w:t>
      </w:r>
      <w:r>
        <w:rPr>
          <w:rFonts w:ascii="Simsun" w:hAnsi="Simsun" w:cs="Simsun"/>
          <w:color w:val="000000"/>
          <w:sz w:val="24"/>
          <w:u w:val="single"/>
        </w:rPr>
        <w:t>请填写主体名称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NormalWeb"/>
        <w:numPr>
          <w:ilvl w:val="1"/>
          <w:numId w:val="15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增资认缴方出资安排</w:t>
      </w:r>
    </w:p>
    <w:p>
      <w:pPr>
        <w:pStyle w:val="NormalWeb"/>
        <w:numPr>
          <w:ilvl w:val="2"/>
          <w:numId w:val="15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出资额为：</w:t>
      </w:r>
      <w:r>
        <w:rPr>
          <w:rFonts w:ascii="Simsun" w:hAnsi="Simsun" w:cs="Simsun"/>
          <w:color w:val="000000"/>
          <w:sz w:val="24"/>
          <w:u w:val="single"/>
        </w:rPr>
        <w:t>人民币（大写）  元（￥  元），其中计入注册资本金  元、计入资本公积金  元，持股比例为  %。</w:t>
      </w:r>
    </w:p>
    <w:p>
      <w:pPr>
        <w:pStyle w:val="NormalWeb"/>
        <w:numPr>
          <w:ilvl w:val="2"/>
          <w:numId w:val="15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出资方式：非货币出资。具体为：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出资资产：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评估价值：根据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以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为基准日出具的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号《资产评估报告》，该出资资产的评估价值为人民币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元。</w:t>
      </w:r>
    </w:p>
    <w:p>
      <w:pPr>
        <w:pStyle w:val="NormalWeb"/>
        <w:numPr>
          <w:ilvl w:val="2"/>
          <w:numId w:val="15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出资时间：</w:t>
      </w:r>
      <w:r>
        <w:rPr>
          <w:rFonts w:ascii="Simsun" w:hAnsi="Simsun" w:cs="Simsun"/>
          <w:color w:val="000000"/>
          <w:sz w:val="24"/>
          <w:u w:val="single"/>
        </w:rPr>
        <w:t xml:space="preserve">  年  月  日</w:t>
      </w:r>
      <w:r>
        <w:rPr>
          <w:rFonts w:ascii="Simsun" w:hAnsi="Simsun" w:cs="Simsun"/>
          <w:color w:val="000000"/>
          <w:sz w:val="24"/>
        </w:rPr>
        <w:t>前缴付出资。</w:t>
      </w:r>
    </w:p>
    <w:p>
      <w:pPr>
        <w:pStyle w:val="Heading3"/>
        <w:numPr>
          <w:ilvl w:val="0"/>
          <w:numId w:val="16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增资协议</w:t>
      </w:r>
    </w:p>
    <w:p>
      <w:pPr>
        <w:pStyle w:val="NormalWeb"/>
        <w:numPr>
          <w:ilvl w:val="1"/>
          <w:numId w:val="16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  <w:u w:val="single"/>
        </w:rPr>
        <w:t>同意公司与增资认缴方等签订合同编号为____的《增资协议》。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本次股东会会议召集程序、表决方式、决议内容符合法律、行政法规、公司章程的规定，本股东会决议产生的所有法律责任概由本公司承担。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签署时间：    年    月  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到会股东（签名或盖章）：</w:t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7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2">
    <w:multiLevelType w:val="hybridMultilevel"/>
    <w:lvl w:ilvl="0">
      <w:start w:val="1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13">
    <w:multiLevelType w:val="hybridMultilevel"/>
    <w:lvl w:ilvl="0">
      <w:start w:val="2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14">
    <w:multiLevelType w:val="hybridMultilevel"/>
    <w:lvl w:ilvl="0">
      <w:start w:val="3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15">
    <w:multiLevelType w:val="hybridMultilevel"/>
    <w:lvl w:ilvl="0">
      <w:start w:val="4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Heading3" w:type="paragraph" w:default="false" w:customStyle="false">
    <w:name w:val="Heading 3"/>
    <w:basedOn w:val="Normal"/>
    <w:next w:val="Normal"/>
    <w:link w:val="Heading3Char"/>
    <w:uiPriority w:val="9"/>
    <w:qFormat w:val="true"/>
    <w:pPr>
      <w:keepLines w:val="true"/>
      <w:spacing w:after="280" w:before="280" w:afterAutospacing="false" w:beforeAutospacing="false"/>
      <w:outlineLvl w:val="1"/>
    </w:pPr>
    <w:rPr>
      <w:b w:val="true"/>
      <w:color w:val="000000"/>
      <w:sz w:val="27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